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F2A08" w:rsidTr="007F2A0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F2A08" w:rsidRPr="007F2A08" w:rsidRDefault="007F2A08" w:rsidP="00C52C83">
            <w:pPr>
              <w:spacing w:before="330" w:after="45" w:line="450" w:lineRule="atLeast"/>
              <w:outlineLvl w:val="0"/>
              <w:rPr>
                <w:rFonts w:ascii="Times New Roman" w:eastAsia="Times New Roman" w:hAnsi="Times New Roman" w:cs="Times New Roman"/>
                <w:color w:val="0C0000"/>
                <w:kern w:val="36"/>
                <w:sz w:val="24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kern w:val="36"/>
                <w:sz w:val="24"/>
                <w:szCs w:val="42"/>
                <w:lang w:eastAsia="ru-RU"/>
              </w:rPr>
              <w:t>№ исх: ДГД-1-15/7115-ВН   от: 10.09.2018</w:t>
            </w:r>
          </w:p>
        </w:tc>
      </w:tr>
    </w:tbl>
    <w:p w:rsidR="00C52C83" w:rsidRPr="00C52C83" w:rsidRDefault="00C52C83" w:rsidP="00C52C83">
      <w:pPr>
        <w:spacing w:before="330" w:after="45" w:line="450" w:lineRule="atLeast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</w:pPr>
      <w:r w:rsidRPr="00C52C83"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  <w:t>О введении обязательного предварительного информирования о товарах, ввозимых на единую таможенную территорию Таможенного союза железнодорожным транспортом</w:t>
      </w:r>
    </w:p>
    <w:p w:rsidR="00C52C83" w:rsidRPr="00C52C83" w:rsidRDefault="00C52C83" w:rsidP="00C52C8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2C83">
        <w:rPr>
          <w:rFonts w:ascii="Arial" w:eastAsia="Times New Roman" w:hAnsi="Arial" w:cs="Arial"/>
          <w:vanish/>
          <w:color w:val="444444"/>
          <w:sz w:val="17"/>
          <w:szCs w:val="17"/>
          <w:shd w:val="clear" w:color="auto" w:fill="DDDDDD"/>
          <w:lang w:eastAsia="ru-RU"/>
        </w:rPr>
        <w:t>Новый</w:t>
      </w:r>
    </w:p>
    <w:p w:rsidR="00C52C83" w:rsidRPr="00C52C83" w:rsidRDefault="00C52C83" w:rsidP="003A2CEA">
      <w:pPr>
        <w:spacing w:after="0" w:line="240" w:lineRule="auto"/>
        <w:jc w:val="both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Решение Коллегии Евразийской экономической комиссии от 17 сентября 2013 года № 196</w:t>
      </w:r>
    </w:p>
    <w:p w:rsidR="00C52C83" w:rsidRPr="00C52C83" w:rsidRDefault="00C52C83" w:rsidP="00C52C83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В соответствии со </w:t>
      </w:r>
      <w:hyperlink r:id="rId7" w:anchor="z17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статьей 3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Соглашения о представлении и об обмене предварительной информацией о товарах и транспортных средствах, перемещаемых через таможенную границу таможенного союза, от 21 мая 2010 года (далее – Соглашение) и в целях создания условий по сокращению времени проведения таможенных операций с товарами, ввозимыми на единую таможенную территорию Таможенного союза железнодорожным транспортом, в местах их прибытия, повышения эффективности таможенного контроля Коллегия Евразийской экономической комиссии </w:t>
      </w:r>
      <w:r w:rsidRPr="00C52C83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>решила: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 Ввести с 1 октября 2014 г.обязательное предварительное информирование о товарах, ввозимых на единую таможенную территорию Таможенного союза железнодорожным транспортом.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2. Перевозчик, в том числе таможенный перевозчик, осуществляющий ввоз товаров железнодорожным транспортом на единую таможенную территорию Таможенного союза(далее – перевозчик), обязан представить предварительную информацию не менее чем за 2 часа до их перемещения через таможенную границу Таможенного союза. Уполномоченные экономические операторы, таможенные представители, экспедиторы, лица, имеющие право владения, пользования и (или) распоряжения товарами, или иные заинтересованные лица представляют сведения о товарах, необходимые для осуществления предварительного информирования, перевозчику государства – члена Таможенного союза (далее – государство-член), на территории которого расположено место перемещения товаров через таможенную границу Таможенного союза (далее – место прибытия), не менее чем за 4 часа до прибытия товаров. Перевозчик осуществляет прием указанных сведений от данных лиц и их консолидацию.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t>3. В случае если товары предполагаются к помещению под таможенную процедуру таможенного транзита в месте прибытия, представляется следующая предварительная информация: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а) сведения об отправителе, получателе товаров в соответствии с транспортными (перевозочными) документами;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б) сведения о стране отправления, стране назначения товаров;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в) сведения о декларанте;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г) сведения о перевозчике;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д) сведения о транспортном средстве международной перевозки, на котором перевозятся товары;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е) наименование, количество товаров в соответствии с коммерческими, транспортными (перевозочными) документами;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ж) стоимость товаров в соответствии с коммерческими, транспортными (перевозочными) документами;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з) код товаров в соответствии с Гармонизированной системой описания и кодирования товаров или единой Товарной номенклатурой внешнеэкономической деятельности Таможенного союза на уровне не менее чем первых 6 знаков;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lastRenderedPageBreak/>
        <w:t>      и) вес товаров брутто или объем, а также количество товаров в дополнительных единицах измерения (при наличии сведений) по каждому коду Гармонизированной системы описания и кодирования товаров или единой Товарной номенклатуры внешнеэкономической деятельности Таможенного союза;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к) количество грузовых мест;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л) пункт назначения товаров в соответствии с транспортными (перевозочными) документами;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м) сведения о документах, подтверждающих соблюдение ограничений, связанных с перемещением товаров через таможенную границу Таможенного союза, если такое перемещение допускается (при наличии документов);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н) сведения о планируемой перегрузке товаров или контейнеров и (или) грузовых операциях в пути (при наличии сведений);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о) планируемое время прибытия;</w:t>
      </w:r>
      <w:r w:rsidRPr="00C61166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br/>
        <w:t>      п) место прибытия.</w:t>
      </w:r>
      <w:bookmarkStart w:id="3" w:name="_GoBack"/>
      <w:bookmarkEnd w:id="3"/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" w:name="z5"/>
      <w:bookmarkEnd w:id="4"/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4. В отношении товаров, перемещаемых в соответствии с таможенной процедурой таможенного транзита от таможенного органа в месте прибытия на единую таможенную территорию Таможенного союза до таможенного органа в месте убытия с единой таможенной территории Таможенного союза, представление информации, указанной в подпункте «ж» </w:t>
      </w:r>
      <w:hyperlink r:id="rId8" w:anchor="z4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пункта 3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настоящего Решения, не требуется.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" w:name="z6"/>
      <w:bookmarkEnd w:id="5"/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5. В случае если товары не предполагаются к помещению под таможенную процедуру таможенного транзита в месте прибытия или перевозчик не обладает информацией о помещении товаров под такую таможенную процедуру, представляется следующая предварительная информация: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а) наименование и адрес отправителя товаров;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б) наименование и адрес получателя товаров;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в) наименование станции отправления и станции назначения товаров;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г) количество грузовых мест, маркировка и виды упаковок товаров;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д) наименование и коды товаров в соответствии с Гармонизированной системой описания и кодирования товаров или единой Товарной номенклатурой внешнеэкономической деятельности Таможенного союза на уровне не менее чем первых 4 знаков;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е) вес брутто товаров (в килограммах);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ж) идентификационные номера контейнеров;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з) планируемое время прибытия;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и) место прибытия.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" w:name="z7"/>
      <w:bookmarkEnd w:id="6"/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6. Предварительная информация, предусмотренная пунктами </w:t>
      </w:r>
      <w:hyperlink r:id="rId9" w:anchor="z4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3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– </w:t>
      </w:r>
      <w:hyperlink r:id="rId10" w:anchor="z6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5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настоящего Решения, представляется таможенному органу государства-члена, на территории которого расположено место прибытия.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В случае представления предварительной информации, предусмотренной пунктами </w:t>
      </w:r>
      <w:hyperlink r:id="rId11" w:anchor="z4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3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– </w:t>
      </w:r>
      <w:hyperlink r:id="rId12" w:anchor="z6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5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настоящего Решения, не в полном объеме, а также ее несоответствия структуре и формату, определенным техническими требованиями, предусмотренными </w:t>
      </w:r>
      <w:hyperlink r:id="rId13" w:anchor="z37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статьей 6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Соглашения, лицу, представившему предварительную информацию, направляется электронное сообщение о непринятии предварительной информации к рассмотрению с указанием причин. Предварительная информация в этом случае считается непредставленной.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" w:name="z8"/>
      <w:bookmarkEnd w:id="7"/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7. В случае помещения товаров под таможенную процедуру таможенного транзита в месте прибытия предварительная информация, представленная в соответствии с пунктами </w:t>
      </w:r>
      <w:hyperlink r:id="rId14" w:anchor="z4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3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 </w:t>
      </w:r>
      <w:hyperlink r:id="rId15" w:anchor="z5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4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настоящего Решения, используется в качестве электронной копии транзитной декларации при условии отсутствия расхождения между предварительной информацией и сведениями, содержащимися в коммерческих, транспортных (перевозочных) и (или) иных документах. 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" w:name="z9"/>
      <w:bookmarkEnd w:id="8"/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8. Партия товара, в отношении которой предварительная информация не представлена таможенному органу государства-члена в объеме и сроки, определенные настоящим Решением, относится к области риска. Таможенные органы государств-членов принимают меры по минимизации такого риска в соответствии с законодательством государств-членов.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" w:name="z10"/>
      <w:bookmarkEnd w:id="9"/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>      9. В случае если предварительная информация не может быть получена таможенным органом в месте прибытия по техническим причинам, таможенные операции в отношении представленных товаров проводятся в соответствии с таможенным законодательством Таможенного союза.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" w:name="z11"/>
      <w:bookmarkEnd w:id="10"/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10. Государственному таможенному комитету Республики Беларусь, Комитету таможенного контроля Министерства финансов Республики Казахстан и Федеральной таможенной службе до 1 сентября 2014 г.: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а) доработать информационные системы таможенных органов в части приема предварительной информации, представленной в соответствии с пунктами </w:t>
      </w:r>
      <w:hyperlink r:id="rId16" w:anchor="z4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3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– </w:t>
      </w:r>
      <w:hyperlink r:id="rId17" w:anchor="z6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5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настоящего Решения, а также использования предварительной информации в соответствии с </w:t>
      </w:r>
      <w:hyperlink r:id="rId18" w:anchor="z8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пунктом 7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настоящего Решения;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б) внести в случае необходимости изменения в технические требования, указанные в абзаце втором </w:t>
      </w:r>
      <w:hyperlink r:id="rId19" w:anchor="z7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пункта 6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настоящего Решения. 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" w:name="z12"/>
      <w:bookmarkEnd w:id="11"/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11. Министерствам иностранных дел государств-членов до 1 декабря 2013 г. уведомить сопредельные государства о порядке вступления в силу настоящего Решения.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" w:name="z13"/>
      <w:bookmarkEnd w:id="12"/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12. Настоящее Решение вступает в силу с 1 октября 2014 г., за исключением пунктов </w:t>
      </w:r>
      <w:hyperlink r:id="rId20" w:anchor="z11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10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 </w:t>
      </w:r>
      <w:hyperlink r:id="rId21" w:anchor="z12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11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. 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Пункты </w:t>
      </w:r>
      <w:hyperlink r:id="rId22" w:anchor="z11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10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 </w:t>
      </w:r>
      <w:hyperlink r:id="rId23" w:anchor="z12" w:history="1">
        <w:r w:rsidRPr="00C52C8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11</w:t>
        </w:r>
      </w:hyperlink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настоящего Решения вступают в силу по истечении 30 календарных дней с даты официального опубликования настоящего Решения.</w:t>
      </w:r>
    </w:p>
    <w:p w:rsidR="00C52C83" w:rsidRPr="00C52C83" w:rsidRDefault="00C52C83" w:rsidP="00C52C83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C52C83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      Председатель Коллегии</w:t>
      </w:r>
      <w:r w:rsidRPr="00C52C8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C52C83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      Евразийской экономической комиссии         В. Христенко</w:t>
      </w:r>
    </w:p>
    <w:p w:rsidR="00F106F0" w:rsidRDefault="00F106F0"/>
    <w:sectPr w:rsidR="00F106F0" w:rsidSect="00DC1344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34B" w:rsidRDefault="0061234B" w:rsidP="007F2A08">
      <w:pPr>
        <w:spacing w:after="0" w:line="240" w:lineRule="auto"/>
      </w:pPr>
      <w:r>
        <w:separator/>
      </w:r>
    </w:p>
  </w:endnote>
  <w:endnote w:type="continuationSeparator" w:id="1">
    <w:p w:rsidR="0061234B" w:rsidRDefault="0061234B" w:rsidP="007F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34B" w:rsidRDefault="0061234B" w:rsidP="007F2A08">
      <w:pPr>
        <w:spacing w:after="0" w:line="240" w:lineRule="auto"/>
      </w:pPr>
      <w:r>
        <w:separator/>
      </w:r>
    </w:p>
  </w:footnote>
  <w:footnote w:type="continuationSeparator" w:id="1">
    <w:p w:rsidR="0061234B" w:rsidRDefault="0061234B" w:rsidP="007F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08" w:rsidRDefault="007F2A08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F2A08" w:rsidRPr="007F2A08" w:rsidRDefault="007F2A0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13.09.2018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E40"/>
    <w:multiLevelType w:val="multilevel"/>
    <w:tmpl w:val="C8DA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3177"/>
    <w:rsid w:val="00361505"/>
    <w:rsid w:val="003A2CEA"/>
    <w:rsid w:val="0061234B"/>
    <w:rsid w:val="006B01B6"/>
    <w:rsid w:val="007F2A08"/>
    <w:rsid w:val="00AD5550"/>
    <w:rsid w:val="00C52C83"/>
    <w:rsid w:val="00C61166"/>
    <w:rsid w:val="00DC1344"/>
    <w:rsid w:val="00F106F0"/>
    <w:rsid w:val="00F1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44"/>
  </w:style>
  <w:style w:type="paragraph" w:styleId="1">
    <w:name w:val="heading 1"/>
    <w:basedOn w:val="a"/>
    <w:link w:val="10"/>
    <w:uiPriority w:val="9"/>
    <w:qFormat/>
    <w:rsid w:val="00C52C83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C83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C52C83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C52C83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status1">
    <w:name w:val="status1"/>
    <w:basedOn w:val="a0"/>
    <w:rsid w:val="00C52C83"/>
    <w:rPr>
      <w:vanish/>
      <w:webHidden w:val="0"/>
      <w:sz w:val="17"/>
      <w:szCs w:val="17"/>
      <w:shd w:val="clear" w:color="auto" w:fill="DDDDDD"/>
      <w:specVanish w:val="0"/>
    </w:rPr>
  </w:style>
  <w:style w:type="paragraph" w:styleId="a5">
    <w:name w:val="header"/>
    <w:basedOn w:val="a"/>
    <w:link w:val="a6"/>
    <w:uiPriority w:val="99"/>
    <w:semiHidden/>
    <w:unhideWhenUsed/>
    <w:rsid w:val="007F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A08"/>
  </w:style>
  <w:style w:type="paragraph" w:styleId="a7">
    <w:name w:val="footer"/>
    <w:basedOn w:val="a"/>
    <w:link w:val="a8"/>
    <w:uiPriority w:val="99"/>
    <w:semiHidden/>
    <w:unhideWhenUsed/>
    <w:rsid w:val="007F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C83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C83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C52C83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C52C83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status1">
    <w:name w:val="status1"/>
    <w:basedOn w:val="a0"/>
    <w:rsid w:val="00C52C83"/>
    <w:rPr>
      <w:vanish/>
      <w:webHidden w:val="0"/>
      <w:sz w:val="17"/>
      <w:szCs w:val="17"/>
      <w:shd w:val="clear" w:color="auto" w:fill="DDDDDD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10857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4889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/rus/docs/H13EK000196" TargetMode="External"/><Relationship Id="rId13" Type="http://schemas.openxmlformats.org/officeDocument/2006/relationships/hyperlink" Target="http://urist/rus/docs/Z100000323_" TargetMode="External"/><Relationship Id="rId18" Type="http://schemas.openxmlformats.org/officeDocument/2006/relationships/hyperlink" Target="http://urist/rus/docs/H13EK00019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rist/rus/docs/H13EK000196" TargetMode="External"/><Relationship Id="rId7" Type="http://schemas.openxmlformats.org/officeDocument/2006/relationships/hyperlink" Target="http://urist/rus/docs/Z100000323_" TargetMode="External"/><Relationship Id="rId12" Type="http://schemas.openxmlformats.org/officeDocument/2006/relationships/hyperlink" Target="http://urist/rus/docs/H13EK000196" TargetMode="External"/><Relationship Id="rId17" Type="http://schemas.openxmlformats.org/officeDocument/2006/relationships/hyperlink" Target="http://urist/rus/docs/H13EK00019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rist/rus/docs/H13EK000196" TargetMode="External"/><Relationship Id="rId20" Type="http://schemas.openxmlformats.org/officeDocument/2006/relationships/hyperlink" Target="http://urist/rus/docs/H13EK0001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rist/rus/docs/H13EK000196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urist/rus/docs/H13EK000196" TargetMode="External"/><Relationship Id="rId23" Type="http://schemas.openxmlformats.org/officeDocument/2006/relationships/hyperlink" Target="http://urist/rus/docs/H13EK000196" TargetMode="External"/><Relationship Id="rId10" Type="http://schemas.openxmlformats.org/officeDocument/2006/relationships/hyperlink" Target="http://urist/rus/docs/H13EK000196" TargetMode="External"/><Relationship Id="rId19" Type="http://schemas.openxmlformats.org/officeDocument/2006/relationships/hyperlink" Target="http://urist/rus/docs/H13EK000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ist/rus/docs/H13EK000196" TargetMode="External"/><Relationship Id="rId14" Type="http://schemas.openxmlformats.org/officeDocument/2006/relationships/hyperlink" Target="http://urist/rus/docs/H13EK000196" TargetMode="External"/><Relationship Id="rId22" Type="http://schemas.openxmlformats.org/officeDocument/2006/relationships/hyperlink" Target="http://urist/rus/docs/H13EK000196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КТК МФ РК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 Уатканов</dc:creator>
  <cp:keywords/>
  <dc:description/>
  <cp:lastModifiedBy>ryudkina</cp:lastModifiedBy>
  <cp:revision>2</cp:revision>
  <dcterms:created xsi:type="dcterms:W3CDTF">2018-09-13T11:00:00Z</dcterms:created>
  <dcterms:modified xsi:type="dcterms:W3CDTF">2018-09-13T11:00:00Z</dcterms:modified>
</cp:coreProperties>
</file>