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26186" w:rsidTr="0012618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26186" w:rsidRPr="00126186" w:rsidRDefault="00126186" w:rsidP="00D00297">
            <w:pPr>
              <w:spacing w:before="330" w:after="45" w:line="450" w:lineRule="atLeast"/>
              <w:outlineLvl w:val="0"/>
              <w:rPr>
                <w:rFonts w:ascii="Times New Roman" w:eastAsia="Times New Roman" w:hAnsi="Times New Roman" w:cs="Times New Roman"/>
                <w:color w:val="0C0000"/>
                <w:kern w:val="36"/>
                <w:sz w:val="24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kern w:val="36"/>
                <w:sz w:val="24"/>
                <w:szCs w:val="42"/>
                <w:lang w:eastAsia="ru-RU"/>
              </w:rPr>
              <w:t>№ исх: ДГД-1-15/7115-ВН   от: 10.09.2018</w:t>
            </w:r>
          </w:p>
        </w:tc>
      </w:tr>
    </w:tbl>
    <w:p w:rsidR="00D00297" w:rsidRPr="00D00297" w:rsidRDefault="00D00297" w:rsidP="00D00297">
      <w:pPr>
        <w:spacing w:before="330" w:after="45" w:line="450" w:lineRule="atLeast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r w:rsidRPr="00D00297"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О введении обязательного предварительного информирования о товарах, ввозимых на таможенную территорию Таможенного союза автомобильным транспортом</w:t>
      </w:r>
    </w:p>
    <w:p w:rsidR="00D00297" w:rsidRPr="00D00297" w:rsidRDefault="00D00297" w:rsidP="00D00297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00297">
        <w:rPr>
          <w:rFonts w:ascii="Arial" w:eastAsia="Times New Roman" w:hAnsi="Arial" w:cs="Arial"/>
          <w:vanish/>
          <w:color w:val="444444"/>
          <w:sz w:val="17"/>
          <w:szCs w:val="17"/>
          <w:shd w:val="clear" w:color="auto" w:fill="DDDDDD"/>
          <w:lang w:eastAsia="ru-RU"/>
        </w:rPr>
        <w:t>Новый</w:t>
      </w:r>
    </w:p>
    <w:p w:rsidR="00D00297" w:rsidRPr="00D00297" w:rsidRDefault="00D00297" w:rsidP="00D92BCF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Решение Комиссии таможенного союза от 9 декабря 2011 года № 899</w:t>
      </w:r>
    </w:p>
    <w:p w:rsidR="00D00297" w:rsidRPr="00D00297" w:rsidRDefault="00D00297" w:rsidP="00D00297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В соответствии со </w:t>
      </w:r>
      <w:hyperlink r:id="rId7" w:anchor="z17" w:history="1">
        <w:r w:rsidRPr="00D00297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статьей 3</w:t>
        </w:r>
      </w:hyperlink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Соглашения о представлении и об обмене предварительной информацией о товарах и транспортных средствах, перемещаемых через таможенную границу Таможенного союза от 21 мая 2010 года, в целях оптимизации и ускорения совершения таможенных операций, повышения эффективности таможенного контроля</w:t>
      </w:r>
    </w:p>
    <w:p w:rsidR="00D00297" w:rsidRDefault="00D00297" w:rsidP="00D0029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 Комиссия Таможенного союза </w:t>
      </w:r>
      <w:r w:rsidRPr="00D00297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решила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:</w:t>
      </w:r>
    </w:p>
    <w:p w:rsidR="00D00297" w:rsidRPr="00D00297" w:rsidRDefault="00D00297" w:rsidP="00D00297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Ввести обязательное предварительное информирование в отношении товаров, ввозимых на таможенную территорию Таможенного союза автомобильным транспортом.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0" w:name="z4"/>
      <w:bookmarkEnd w:id="0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Уполномоченные экономические операторы, перевозчики, в том числе таможенные перевозчики, </w:t>
      </w:r>
      <w:r w:rsidRPr="00A0615E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t>таможенные представители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или иные заинтересованные лица (далее – заинтересованные лица) представляют информацию в отношении ввозимых автомобильным транспортом товаров не менее чем за два часа до их ввоза на таможенную территорию Таможенного союза.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" w:name="z5"/>
      <w:bookmarkEnd w:id="1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В случае, когда ввозимые товары предполагаются к помещению под таможенную процедуру таможенного транзита в месте прибытия, заинтересованное лицо представляет предварительную информацию в информационную систему таможенных органов государства – члена Таможенного союза, на территории которого расположено место прибытия товаров и транспортных средств, в объеме сведений, установленных для транзитной декларации, и содержать сведения о (об):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" w:name="z6"/>
      <w:bookmarkEnd w:id="2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отправителе, получателе товаров в соответствии с транспортными (перевозочными) документами;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" w:name="z7"/>
      <w:bookmarkEnd w:id="3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стране отправления, стране назначения товаров;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" w:name="z8"/>
      <w:bookmarkEnd w:id="4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декларанте;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" w:name="z9"/>
      <w:bookmarkEnd w:id="5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перевозчике;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" w:name="z10"/>
      <w:bookmarkEnd w:id="6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транспортном средстве международной перевозки, на котором перевозятся товары;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" w:name="z11"/>
      <w:bookmarkEnd w:id="7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наименовании, количестве, стоимости товаров в соответствии с коммерческими, транспортными (перевозочными) документами;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" w:name="z12"/>
      <w:bookmarkEnd w:id="8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коде товаров в соответствии с Гармонизированной системой описания и кодирования товаров или Товарной номенклатурой внешнеэкономической деятельности Таможенного союза на уровне не менее первых шести знаков;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" w:name="z13"/>
      <w:bookmarkEnd w:id="9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весе товаров брутто или объеме, а также количестве товаров в дополнительных единицах измерения (при наличии таких сведений) по каждому коду Товарной номенклатуры внешнеэкономической деятельности Таможенного союза или Гармонизированной системы описания и кодирования товаров;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" w:name="z14"/>
      <w:bookmarkEnd w:id="10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количестве грузовых мест;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" w:name="z15"/>
      <w:bookmarkEnd w:id="11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пункте назначения товаров в соответствии с транспортными (перевозочными) документами;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" w:name="z16"/>
      <w:bookmarkEnd w:id="12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– документах, подтверждающих соблюдение ограничений, связанных с перемещением 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товаров через таможенную границу Таможенного союза, если такое перемещение допускается;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3" w:name="z17"/>
      <w:bookmarkEnd w:id="13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планируемой перегрузке товаров или грузовых операциях в пути;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4" w:name="z18"/>
      <w:bookmarkEnd w:id="14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времени и месте прибытия товаров на таможенную территорию Таможенного союза.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5" w:name="z19"/>
      <w:bookmarkEnd w:id="15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В случае, когда ввозимые товары не предполагаются к помещению под таможенную процедуру таможенного транзита в месте прибытия, заинтересованное лицо представляет следующую предварительную информацию в информационную систему таможенных органов государства – члена Таможенного союза, на территории которого расположено место прибытия товаров и транспортных средств: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6" w:name="z20"/>
      <w:bookmarkEnd w:id="16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государственной регистрации транспортного средства международной перевозки;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7" w:name="z21"/>
      <w:bookmarkEnd w:id="17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наименовании и об адресе перевозчика;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8" w:name="z22"/>
      <w:bookmarkEnd w:id="18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наименовании страны отправления и страны назначения товаров;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9" w:name="z23"/>
      <w:bookmarkEnd w:id="19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наименовании и об адресе отправителя и получателя товаров;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0" w:name="z24"/>
      <w:bookmarkEnd w:id="20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продавце и получателях товаров в соответствии с имеющимися у перевозчика коммерческими документами;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1" w:name="z25"/>
      <w:bookmarkEnd w:id="21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количестве грузовых мест, об их маркировке и о видах упаковки товаров;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2" w:name="z26"/>
      <w:bookmarkEnd w:id="22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наименовании, а также кодах товаров в соответствии с Гармонизированной системой описания и кодирования товаров или единой Товарной номенклатурой внешнеэкономической деятельности Таможенного союза на уровне не менее первых четырех знаков;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3" w:name="z27"/>
      <w:bookmarkEnd w:id="23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весе брутто товаров (в килограммах) либо объеме товаров (в кубических метрах), за исключением крупногабаритных грузов;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4" w:name="z28"/>
      <w:bookmarkEnd w:id="24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наличии товаров, ввоз которых на таможенную территорию Таможенного союза запрещен или ограничен;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5" w:name="z29"/>
      <w:bookmarkEnd w:id="25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месте и дате составления международной товаротранспортной накладной;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6" w:name="z30"/>
      <w:bookmarkEnd w:id="26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о времени и месте прибытия товаров на таможенную территорию Таможенного союза.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7" w:name="z31"/>
      <w:bookmarkEnd w:id="27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3. Таможенные органы государств – членов Таможенного союза, на территории которого расположено место прибытия товаров и транспортных средств, в течение 2-х часов с момента получения предварительной информации обязаны провести ее анализ с использованием системы управления рисками.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8" w:name="z32"/>
      <w:bookmarkEnd w:id="28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4. В месте прибытия товаров таможенные органы государств – членов Таможенного союза сопоставляют предварительную информацию со сведениями, содержащимися в транспортных (перевозочных), коммерческих и (или) иных документах.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9" w:name="z33"/>
      <w:bookmarkEnd w:id="29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В случае несоответствия сведений, содержащихся в базах данных предварительной информации таможенных органов государств – членов Таможенного союза, сведениям, содержащимся в документах, представленных перевозчиком, выявленные расхождения учитываются при принятии решения о применении форм таможенного контроля в отношении представленных товаров с использованием системы управления рисками.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0" w:name="z34"/>
      <w:bookmarkEnd w:id="30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Дальнейшие таможенные операции в отношении представленных товаров проводятся в соответствии с таможеннымзаконодательством Таможенного союза.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1" w:name="z35"/>
      <w:bookmarkEnd w:id="31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5. </w:t>
      </w:r>
      <w:r w:rsidRPr="00A0615E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t>В случае представления предварительной информации в объеме, установленном для помещения ввозимых товаров под таможенную процедуру таможенного транзита в месте прибытия, представленная предварительная информация используется в качестве электронной копии транзитной декларации при отсутствии расхождения предварительной информации и сведений, содержащихся в документах, используемых в качестве транзитной декларации.</w:t>
      </w:r>
      <w:bookmarkStart w:id="32" w:name="_GoBack"/>
      <w:bookmarkEnd w:id="32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3" w:name="z36"/>
      <w:bookmarkEnd w:id="33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Принятие решения о выпуске данных товаров в соответствии с таможенной процедурой таможенного транзита, осуществляется не позднее двух часов с момента регистрации транзитной декларации при условии отсутствия риска несоблюдения норм законодательства Таможенного союза.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4" w:name="z37"/>
      <w:bookmarkEnd w:id="34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6. В случае непредставления заинтересованным лицом предварительной информации в место прибытия на таможенную территорию Таможенного союза, оно должно представить в информационную систему таможенных органов государства – члена Таможенного союза, на территории которого расположено место прибытия товаров и транспортных средств, 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информацию, в зависимости от предполагаемых в дальнейшем таможенных операций, в объеме, установленном </w:t>
      </w:r>
      <w:hyperlink r:id="rId8" w:anchor="z4" w:history="1">
        <w:r w:rsidRPr="00D00297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 в течение ближайших двух часов.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5" w:name="z38"/>
      <w:bookmarkEnd w:id="35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На основе результатов анализа представленной заинтересованным лицом информации должностное лицо таможенного органа государства – члена Таможенного союза принимает решение о проведении таможенного контроля в отношении товаров и транспортных средств с использованием системы управления рисками в соответствии с таможенным законодательством Таможенного союза.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6" w:name="z39"/>
      <w:bookmarkEnd w:id="36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7. В случае если предварительная информация не может быть по техническим причинам получена таможенным органом государства – члена Таможенного союза, таможенные операции в отношении представленных товаров проводятся в соответствии с таможенным законодательством Таможенного союза.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7" w:name="z40"/>
      <w:bookmarkEnd w:id="37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8. Руководителям таможенных служб государств – членов Таможенного союза в срок, не превышающий 60 дней с даты официального опубликования настоящего Решения, утвердить: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8" w:name="z41"/>
      <w:bookmarkEnd w:id="38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технические требования обмена данными между автоматизированными системами таможенных органов и информационными системами заинтересованных лиц, предоставляющих предварительную информацию о товарах и транспортных средствах;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9" w:name="z42"/>
      <w:bookmarkEnd w:id="39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– технические условия организации обмена предварительной информацией о товарах и транспортных средствах, перемещаемых через таможенную границу Таможенного союза.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0" w:name="z43"/>
      <w:bookmarkEnd w:id="40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9. Операции по получению и использованию предварительной информации подлежат протоколированию в информационных системах таможенных органов государств – членов Таможенного союза, в соответствии с техническими условиями, разработанными в соответствии с </w:t>
      </w:r>
      <w:hyperlink r:id="rId9" w:anchor="z40" w:history="1">
        <w:r w:rsidRPr="00D00297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пунктом 8</w:t>
        </w:r>
      </w:hyperlink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настоящего Решения.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1" w:name="z44"/>
      <w:bookmarkEnd w:id="41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10. Министерствам иностранных дел государств – членов Таможенного союза в срок, не превышающий 30 дней с даты официального опубликования настоящего Решения, уведомить сопредельные государства о дате и условиях вступления в силу настоящего Решения.</w:t>
      </w: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2" w:name="z45"/>
      <w:bookmarkEnd w:id="42"/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11. Настоящее Решение вступает в силу по истечении ста восьмидесяти дней с даты его официального опубликования, за исключением пунктов 8 и 10, которые вступают в силу со дня официального опубликования настоящего Решения.</w:t>
      </w:r>
    </w:p>
    <w:p w:rsidR="00D00297" w:rsidRPr="00D00297" w:rsidRDefault="00D00297" w:rsidP="00D00297">
      <w:pPr>
        <w:spacing w:after="360" w:line="285" w:lineRule="atLeast"/>
        <w:jc w:val="center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D00297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Члены Комиссии Таможенного союза: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9"/>
        <w:gridCol w:w="3153"/>
      </w:tblGrid>
      <w:tr w:rsidR="00D00297" w:rsidRPr="00D00297" w:rsidTr="00D00297">
        <w:trPr>
          <w:tblCellSpacing w:w="15" w:type="dxa"/>
          <w:jc w:val="center"/>
        </w:trPr>
        <w:tc>
          <w:tcPr>
            <w:tcW w:w="3285" w:type="dxa"/>
            <w:shd w:val="clear" w:color="auto" w:fill="auto"/>
            <w:hideMark/>
          </w:tcPr>
          <w:p w:rsidR="00D00297" w:rsidRPr="00D00297" w:rsidRDefault="00D00297" w:rsidP="00D00297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D00297">
              <w:rPr>
                <w:rFonts w:ascii="Arial" w:eastAsia="Times New Roman" w:hAnsi="Arial" w:cs="Arial"/>
                <w:i/>
                <w:iCs/>
                <w:color w:val="666666"/>
                <w:spacing w:val="2"/>
                <w:sz w:val="20"/>
                <w:szCs w:val="20"/>
                <w:lang w:eastAsia="ru-RU"/>
              </w:rPr>
              <w:t>От Республики</w:t>
            </w:r>
            <w:r w:rsidRPr="00D00297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r w:rsidRPr="00D00297">
              <w:rPr>
                <w:rFonts w:ascii="Arial" w:eastAsia="Times New Roman" w:hAnsi="Arial" w:cs="Arial"/>
                <w:i/>
                <w:iCs/>
                <w:color w:val="666666"/>
                <w:spacing w:val="2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3285" w:type="dxa"/>
            <w:shd w:val="clear" w:color="auto" w:fill="auto"/>
            <w:hideMark/>
          </w:tcPr>
          <w:p w:rsidR="00D00297" w:rsidRPr="00D00297" w:rsidRDefault="00D00297" w:rsidP="00D00297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D00297">
              <w:rPr>
                <w:rFonts w:ascii="Arial" w:eastAsia="Times New Roman" w:hAnsi="Arial" w:cs="Arial"/>
                <w:i/>
                <w:iCs/>
                <w:color w:val="666666"/>
                <w:spacing w:val="2"/>
                <w:sz w:val="20"/>
                <w:szCs w:val="20"/>
                <w:lang w:eastAsia="ru-RU"/>
              </w:rPr>
              <w:t>От Республики</w:t>
            </w:r>
            <w:r w:rsidRPr="00D00297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r w:rsidRPr="00D00297">
              <w:rPr>
                <w:rFonts w:ascii="Arial" w:eastAsia="Times New Roman" w:hAnsi="Arial" w:cs="Arial"/>
                <w:i/>
                <w:iCs/>
                <w:color w:val="666666"/>
                <w:spacing w:val="2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285" w:type="dxa"/>
            <w:shd w:val="clear" w:color="auto" w:fill="auto"/>
            <w:hideMark/>
          </w:tcPr>
          <w:p w:rsidR="00D00297" w:rsidRPr="00D00297" w:rsidRDefault="00D00297" w:rsidP="00D00297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D00297">
              <w:rPr>
                <w:rFonts w:ascii="Arial" w:eastAsia="Times New Roman" w:hAnsi="Arial" w:cs="Arial"/>
                <w:i/>
                <w:iCs/>
                <w:color w:val="666666"/>
                <w:spacing w:val="2"/>
                <w:sz w:val="20"/>
                <w:szCs w:val="20"/>
                <w:lang w:eastAsia="ru-RU"/>
              </w:rPr>
              <w:t>От Российской</w:t>
            </w:r>
            <w:r w:rsidRPr="00D00297"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  <w:br/>
            </w:r>
            <w:r w:rsidRPr="00D00297">
              <w:rPr>
                <w:rFonts w:ascii="Arial" w:eastAsia="Times New Roman" w:hAnsi="Arial" w:cs="Arial"/>
                <w:i/>
                <w:iCs/>
                <w:color w:val="666666"/>
                <w:spacing w:val="2"/>
                <w:sz w:val="20"/>
                <w:szCs w:val="20"/>
                <w:lang w:eastAsia="ru-RU"/>
              </w:rPr>
              <w:t>Федерации</w:t>
            </w:r>
          </w:p>
        </w:tc>
      </w:tr>
      <w:tr w:rsidR="00D00297" w:rsidRPr="00D00297" w:rsidTr="00D00297">
        <w:trPr>
          <w:tblCellSpacing w:w="15" w:type="dxa"/>
          <w:jc w:val="center"/>
        </w:trPr>
        <w:tc>
          <w:tcPr>
            <w:tcW w:w="3285" w:type="dxa"/>
            <w:shd w:val="clear" w:color="auto" w:fill="auto"/>
            <w:hideMark/>
          </w:tcPr>
          <w:p w:rsidR="00D00297" w:rsidRPr="00D00297" w:rsidRDefault="00D00297" w:rsidP="00D00297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D00297">
              <w:rPr>
                <w:rFonts w:ascii="Arial" w:eastAsia="Times New Roman" w:hAnsi="Arial" w:cs="Arial"/>
                <w:i/>
                <w:iCs/>
                <w:color w:val="666666"/>
                <w:spacing w:val="2"/>
                <w:sz w:val="20"/>
                <w:szCs w:val="20"/>
                <w:lang w:eastAsia="ru-RU"/>
              </w:rPr>
              <w:t>С. Румас</w:t>
            </w:r>
          </w:p>
        </w:tc>
        <w:tc>
          <w:tcPr>
            <w:tcW w:w="3285" w:type="dxa"/>
            <w:shd w:val="clear" w:color="auto" w:fill="auto"/>
            <w:hideMark/>
          </w:tcPr>
          <w:p w:rsidR="00D00297" w:rsidRPr="00D00297" w:rsidRDefault="00D00297" w:rsidP="00D00297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D00297">
              <w:rPr>
                <w:rFonts w:ascii="Arial" w:eastAsia="Times New Roman" w:hAnsi="Arial" w:cs="Arial"/>
                <w:i/>
                <w:iCs/>
                <w:color w:val="666666"/>
                <w:spacing w:val="2"/>
                <w:sz w:val="20"/>
                <w:szCs w:val="20"/>
                <w:lang w:eastAsia="ru-RU"/>
              </w:rPr>
              <w:t>У. Шукеев</w:t>
            </w:r>
          </w:p>
        </w:tc>
        <w:tc>
          <w:tcPr>
            <w:tcW w:w="3285" w:type="dxa"/>
            <w:shd w:val="clear" w:color="auto" w:fill="auto"/>
            <w:hideMark/>
          </w:tcPr>
          <w:p w:rsidR="00D00297" w:rsidRPr="00D00297" w:rsidRDefault="00D00297" w:rsidP="00D00297">
            <w:pPr>
              <w:spacing w:after="360" w:line="285" w:lineRule="atLeast"/>
              <w:jc w:val="center"/>
              <w:rPr>
                <w:rFonts w:ascii="Arial" w:eastAsia="Times New Roman" w:hAnsi="Arial" w:cs="Arial"/>
                <w:color w:val="666666"/>
                <w:spacing w:val="2"/>
                <w:sz w:val="20"/>
                <w:szCs w:val="20"/>
                <w:lang w:eastAsia="ru-RU"/>
              </w:rPr>
            </w:pPr>
            <w:r w:rsidRPr="00D00297">
              <w:rPr>
                <w:rFonts w:ascii="Arial" w:eastAsia="Times New Roman" w:hAnsi="Arial" w:cs="Arial"/>
                <w:i/>
                <w:iCs/>
                <w:color w:val="666666"/>
                <w:spacing w:val="2"/>
                <w:sz w:val="20"/>
                <w:szCs w:val="20"/>
                <w:lang w:eastAsia="ru-RU"/>
              </w:rPr>
              <w:t>И. Шувалов</w:t>
            </w:r>
          </w:p>
        </w:tc>
      </w:tr>
    </w:tbl>
    <w:p w:rsidR="00A14090" w:rsidRDefault="00A14090"/>
    <w:sectPr w:rsidR="00A14090" w:rsidSect="00D00297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31" w:rsidRDefault="000B4A31" w:rsidP="00126186">
      <w:pPr>
        <w:spacing w:after="0" w:line="240" w:lineRule="auto"/>
      </w:pPr>
      <w:r>
        <w:separator/>
      </w:r>
    </w:p>
  </w:endnote>
  <w:endnote w:type="continuationSeparator" w:id="1">
    <w:p w:rsidR="000B4A31" w:rsidRDefault="000B4A31" w:rsidP="0012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31" w:rsidRDefault="000B4A31" w:rsidP="00126186">
      <w:pPr>
        <w:spacing w:after="0" w:line="240" w:lineRule="auto"/>
      </w:pPr>
      <w:r>
        <w:separator/>
      </w:r>
    </w:p>
  </w:footnote>
  <w:footnote w:type="continuationSeparator" w:id="1">
    <w:p w:rsidR="000B4A31" w:rsidRDefault="000B4A31" w:rsidP="0012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86" w:rsidRDefault="00126186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26186" w:rsidRPr="00126186" w:rsidRDefault="0012618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13.09.2018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5069"/>
    <w:multiLevelType w:val="multilevel"/>
    <w:tmpl w:val="316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72880"/>
    <w:multiLevelType w:val="multilevel"/>
    <w:tmpl w:val="C54A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23A55"/>
    <w:multiLevelType w:val="multilevel"/>
    <w:tmpl w:val="3F0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52D3"/>
    <w:rsid w:val="000B4A31"/>
    <w:rsid w:val="00126186"/>
    <w:rsid w:val="001C4B36"/>
    <w:rsid w:val="0033784F"/>
    <w:rsid w:val="008A52D3"/>
    <w:rsid w:val="00A0615E"/>
    <w:rsid w:val="00A14090"/>
    <w:rsid w:val="00D00297"/>
    <w:rsid w:val="00D9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6"/>
  </w:style>
  <w:style w:type="paragraph" w:styleId="1">
    <w:name w:val="heading 1"/>
    <w:basedOn w:val="a"/>
    <w:link w:val="10"/>
    <w:uiPriority w:val="9"/>
    <w:qFormat/>
    <w:rsid w:val="00D00297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297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D0029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D0029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modecontent">
    <w:name w:val="mode_content"/>
    <w:basedOn w:val="a0"/>
    <w:rsid w:val="00D00297"/>
  </w:style>
  <w:style w:type="character" w:customStyle="1" w:styleId="modefooter">
    <w:name w:val="mode_footer"/>
    <w:basedOn w:val="a0"/>
    <w:rsid w:val="00D00297"/>
  </w:style>
  <w:style w:type="character" w:customStyle="1" w:styleId="status1">
    <w:name w:val="status1"/>
    <w:basedOn w:val="a0"/>
    <w:rsid w:val="00D00297"/>
    <w:rPr>
      <w:vanish/>
      <w:webHidden w:val="0"/>
      <w:sz w:val="17"/>
      <w:szCs w:val="17"/>
      <w:shd w:val="clear" w:color="auto" w:fill="DDDDDD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0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2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6186"/>
  </w:style>
  <w:style w:type="paragraph" w:styleId="a9">
    <w:name w:val="footer"/>
    <w:basedOn w:val="a"/>
    <w:link w:val="aa"/>
    <w:uiPriority w:val="99"/>
    <w:semiHidden/>
    <w:unhideWhenUsed/>
    <w:rsid w:val="0012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6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297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297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D0029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D0029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modecontent">
    <w:name w:val="mode_content"/>
    <w:basedOn w:val="a0"/>
    <w:rsid w:val="00D00297"/>
  </w:style>
  <w:style w:type="character" w:customStyle="1" w:styleId="modefooter">
    <w:name w:val="mode_footer"/>
    <w:basedOn w:val="a0"/>
    <w:rsid w:val="00D00297"/>
  </w:style>
  <w:style w:type="character" w:customStyle="1" w:styleId="status1">
    <w:name w:val="status1"/>
    <w:basedOn w:val="a0"/>
    <w:rsid w:val="00D00297"/>
    <w:rPr>
      <w:vanish/>
      <w:webHidden w:val="0"/>
      <w:sz w:val="17"/>
      <w:szCs w:val="17"/>
      <w:shd w:val="clear" w:color="auto" w:fill="DDDDDD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0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6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45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543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1912496031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3893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rus/docs/H11T000089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rist/rus/docs/Z100000323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rist/rus/docs/H11T000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7628</Characters>
  <Application>Microsoft Office Word</Application>
  <DocSecurity>0</DocSecurity>
  <Lines>63</Lines>
  <Paragraphs>17</Paragraphs>
  <ScaleCrop>false</ScaleCrop>
  <Company>КТК МФ РК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 Уатканов</dc:creator>
  <cp:keywords/>
  <dc:description/>
  <cp:lastModifiedBy>ryudkina</cp:lastModifiedBy>
  <cp:revision>2</cp:revision>
  <dcterms:created xsi:type="dcterms:W3CDTF">2018-09-13T10:59:00Z</dcterms:created>
  <dcterms:modified xsi:type="dcterms:W3CDTF">2018-09-13T10:59:00Z</dcterms:modified>
</cp:coreProperties>
</file>