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D5" w:rsidRPr="006420D6" w:rsidRDefault="000300D5" w:rsidP="000300D5">
      <w:pPr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20D6">
        <w:rPr>
          <w:rFonts w:ascii="Times New Roman" w:eastAsia="Calibri" w:hAnsi="Times New Roman" w:cs="Times New Roman"/>
          <w:b/>
          <w:sz w:val="24"/>
          <w:szCs w:val="24"/>
        </w:rPr>
        <w:t>«Исполнения доходного части за 1 полугодие 2015года».</w:t>
      </w:r>
    </w:p>
    <w:p w:rsidR="000300D5" w:rsidRPr="006420D6" w:rsidRDefault="000300D5" w:rsidP="000300D5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6420D6">
        <w:rPr>
          <w:rFonts w:ascii="Times New Roman" w:hAnsi="Times New Roman"/>
          <w:sz w:val="24"/>
          <w:szCs w:val="24"/>
          <w:lang w:val="kk-KZ"/>
        </w:rPr>
        <w:t>За  1 полугодие 2015 г в государственный бюджет поступило 93,9</w:t>
      </w:r>
      <w:r w:rsidRPr="006420D6">
        <w:rPr>
          <w:rFonts w:ascii="Times New Roman" w:hAnsi="Times New Roman"/>
          <w:sz w:val="24"/>
          <w:szCs w:val="24"/>
        </w:rPr>
        <w:t xml:space="preserve"> </w:t>
      </w:r>
      <w:r w:rsidRPr="006420D6">
        <w:rPr>
          <w:rFonts w:ascii="Times New Roman" w:hAnsi="Times New Roman"/>
          <w:sz w:val="24"/>
          <w:szCs w:val="24"/>
          <w:lang w:val="kk-KZ"/>
        </w:rPr>
        <w:t>млрд.тенге при плане 97,3</w:t>
      </w:r>
      <w:r w:rsidRPr="006420D6">
        <w:rPr>
          <w:rFonts w:ascii="Times New Roman" w:hAnsi="Times New Roman"/>
          <w:sz w:val="24"/>
          <w:szCs w:val="24"/>
        </w:rPr>
        <w:t xml:space="preserve"> </w:t>
      </w:r>
      <w:r w:rsidRPr="006420D6">
        <w:rPr>
          <w:rFonts w:ascii="Times New Roman" w:hAnsi="Times New Roman"/>
          <w:sz w:val="24"/>
          <w:szCs w:val="24"/>
          <w:lang w:val="kk-KZ"/>
        </w:rPr>
        <w:t xml:space="preserve">млрд.тенге или исполнение составило 96,6 %,  темп роста поступлений  составило 100,8 %. </w:t>
      </w:r>
    </w:p>
    <w:p w:rsidR="000300D5" w:rsidRPr="006420D6" w:rsidRDefault="000300D5" w:rsidP="000300D5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6420D6">
        <w:rPr>
          <w:rFonts w:ascii="Times New Roman" w:hAnsi="Times New Roman"/>
          <w:sz w:val="24"/>
          <w:szCs w:val="24"/>
          <w:lang w:val="kk-KZ"/>
        </w:rPr>
        <w:t>Республиканский бюджет исполнен на 87,4%  п</w:t>
      </w:r>
      <w:r w:rsidRPr="006420D6">
        <w:rPr>
          <w:rFonts w:ascii="Times New Roman" w:hAnsi="Times New Roman"/>
          <w:bCs/>
          <w:sz w:val="24"/>
          <w:szCs w:val="24"/>
        </w:rPr>
        <w:t>ри прогнозе 5</w:t>
      </w:r>
      <w:r w:rsidRPr="006420D6">
        <w:rPr>
          <w:rFonts w:ascii="Times New Roman" w:hAnsi="Times New Roman"/>
          <w:bCs/>
          <w:sz w:val="24"/>
          <w:szCs w:val="24"/>
          <w:lang w:val="kk-KZ"/>
        </w:rPr>
        <w:t>9</w:t>
      </w:r>
      <w:r w:rsidRPr="006420D6">
        <w:rPr>
          <w:rFonts w:ascii="Times New Roman" w:hAnsi="Times New Roman"/>
          <w:bCs/>
          <w:sz w:val="24"/>
          <w:szCs w:val="24"/>
        </w:rPr>
        <w:t> </w:t>
      </w:r>
      <w:r w:rsidRPr="006420D6">
        <w:rPr>
          <w:rFonts w:ascii="Times New Roman" w:hAnsi="Times New Roman"/>
          <w:bCs/>
          <w:sz w:val="24"/>
          <w:szCs w:val="24"/>
          <w:lang w:val="kk-KZ"/>
        </w:rPr>
        <w:t>922</w:t>
      </w:r>
      <w:r w:rsidRPr="006420D6">
        <w:rPr>
          <w:rFonts w:ascii="Times New Roman" w:hAnsi="Times New Roman"/>
          <w:bCs/>
          <w:sz w:val="24"/>
          <w:szCs w:val="24"/>
        </w:rPr>
        <w:t>,</w:t>
      </w:r>
      <w:r w:rsidRPr="006420D6">
        <w:rPr>
          <w:rFonts w:ascii="Times New Roman" w:hAnsi="Times New Roman"/>
          <w:bCs/>
          <w:sz w:val="24"/>
          <w:szCs w:val="24"/>
          <w:lang w:val="kk-KZ"/>
        </w:rPr>
        <w:t>7</w:t>
      </w:r>
      <w:r w:rsidRPr="006420D6">
        <w:rPr>
          <w:rFonts w:ascii="Times New Roman" w:hAnsi="Times New Roman"/>
          <w:bCs/>
          <w:sz w:val="24"/>
          <w:szCs w:val="24"/>
        </w:rPr>
        <w:t xml:space="preserve"> млн.тенге фактически поступило </w:t>
      </w:r>
      <w:r w:rsidRPr="006420D6">
        <w:rPr>
          <w:rFonts w:ascii="Times New Roman" w:hAnsi="Times New Roman"/>
          <w:bCs/>
          <w:sz w:val="24"/>
          <w:szCs w:val="24"/>
          <w:lang w:val="kk-KZ"/>
        </w:rPr>
        <w:t>52</w:t>
      </w:r>
      <w:r w:rsidRPr="006420D6">
        <w:rPr>
          <w:rFonts w:ascii="Times New Roman" w:hAnsi="Times New Roman"/>
          <w:bCs/>
          <w:sz w:val="24"/>
          <w:szCs w:val="24"/>
        </w:rPr>
        <w:t> </w:t>
      </w:r>
      <w:r w:rsidRPr="006420D6">
        <w:rPr>
          <w:rFonts w:ascii="Times New Roman" w:hAnsi="Times New Roman"/>
          <w:bCs/>
          <w:sz w:val="24"/>
          <w:szCs w:val="24"/>
          <w:lang w:val="kk-KZ"/>
        </w:rPr>
        <w:t>368,6</w:t>
      </w:r>
      <w:r w:rsidRPr="006420D6">
        <w:rPr>
          <w:rFonts w:ascii="Times New Roman" w:hAnsi="Times New Roman"/>
          <w:bCs/>
          <w:sz w:val="24"/>
          <w:szCs w:val="24"/>
        </w:rPr>
        <w:t xml:space="preserve"> млн.тенге</w:t>
      </w:r>
      <w:r w:rsidRPr="006420D6">
        <w:rPr>
          <w:rFonts w:ascii="Times New Roman" w:hAnsi="Times New Roman"/>
          <w:bCs/>
          <w:sz w:val="24"/>
          <w:szCs w:val="24"/>
          <w:lang w:val="kk-KZ"/>
        </w:rPr>
        <w:t xml:space="preserve">, однако </w:t>
      </w:r>
      <w:r w:rsidRPr="006420D6">
        <w:rPr>
          <w:rFonts w:ascii="Times New Roman" w:hAnsi="Times New Roman"/>
          <w:sz w:val="24"/>
          <w:szCs w:val="24"/>
        </w:rPr>
        <w:t xml:space="preserve">темп роста составляет </w:t>
      </w:r>
      <w:r w:rsidRPr="006420D6">
        <w:rPr>
          <w:rFonts w:ascii="Times New Roman" w:hAnsi="Times New Roman"/>
          <w:sz w:val="24"/>
          <w:szCs w:val="24"/>
          <w:lang w:val="kk-KZ"/>
        </w:rPr>
        <w:t>104</w:t>
      </w:r>
      <w:r w:rsidRPr="006420D6">
        <w:rPr>
          <w:rFonts w:ascii="Times New Roman" w:hAnsi="Times New Roman"/>
          <w:sz w:val="24"/>
          <w:szCs w:val="24"/>
        </w:rPr>
        <w:t>,</w:t>
      </w:r>
      <w:r w:rsidRPr="006420D6">
        <w:rPr>
          <w:rFonts w:ascii="Times New Roman" w:hAnsi="Times New Roman"/>
          <w:sz w:val="24"/>
          <w:szCs w:val="24"/>
          <w:lang w:val="kk-KZ"/>
        </w:rPr>
        <w:t>0</w:t>
      </w:r>
      <w:r w:rsidRPr="006420D6">
        <w:rPr>
          <w:rFonts w:ascii="Times New Roman" w:hAnsi="Times New Roman"/>
          <w:sz w:val="24"/>
          <w:szCs w:val="24"/>
        </w:rPr>
        <w:t xml:space="preserve">% или на </w:t>
      </w:r>
      <w:r w:rsidRPr="006420D6">
        <w:rPr>
          <w:rFonts w:ascii="Times New Roman" w:hAnsi="Times New Roman"/>
          <w:sz w:val="24"/>
          <w:szCs w:val="24"/>
          <w:lang w:val="kk-KZ"/>
        </w:rPr>
        <w:t>2,0</w:t>
      </w:r>
      <w:r w:rsidRPr="006420D6">
        <w:rPr>
          <w:rFonts w:ascii="Times New Roman" w:hAnsi="Times New Roman"/>
          <w:sz w:val="24"/>
          <w:szCs w:val="24"/>
        </w:rPr>
        <w:t xml:space="preserve"> млрд.тенге </w:t>
      </w:r>
      <w:r w:rsidRPr="006420D6">
        <w:rPr>
          <w:rFonts w:ascii="Times New Roman" w:hAnsi="Times New Roman"/>
          <w:sz w:val="24"/>
          <w:szCs w:val="24"/>
          <w:lang w:val="kk-KZ"/>
        </w:rPr>
        <w:t>поступило больше.</w:t>
      </w:r>
    </w:p>
    <w:p w:rsidR="000300D5" w:rsidRPr="006420D6" w:rsidRDefault="000300D5" w:rsidP="000300D5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6420D6">
        <w:rPr>
          <w:rFonts w:ascii="Times New Roman" w:hAnsi="Times New Roman"/>
          <w:sz w:val="24"/>
          <w:szCs w:val="24"/>
          <w:lang w:val="kk-KZ"/>
        </w:rPr>
        <w:t>Местный бюджет исполнен на 111,3% п</w:t>
      </w:r>
      <w:r w:rsidRPr="006420D6">
        <w:rPr>
          <w:rFonts w:ascii="Times New Roman" w:hAnsi="Times New Roman"/>
          <w:bCs/>
          <w:sz w:val="24"/>
          <w:szCs w:val="24"/>
        </w:rPr>
        <w:t xml:space="preserve">ри прогнозе </w:t>
      </w:r>
      <w:r w:rsidRPr="006420D6">
        <w:rPr>
          <w:rFonts w:ascii="Times New Roman" w:hAnsi="Times New Roman"/>
          <w:bCs/>
          <w:sz w:val="24"/>
          <w:szCs w:val="24"/>
          <w:lang w:val="kk-KZ"/>
        </w:rPr>
        <w:t>37 353</w:t>
      </w:r>
      <w:r w:rsidRPr="006420D6">
        <w:rPr>
          <w:rFonts w:ascii="Times New Roman" w:hAnsi="Times New Roman"/>
          <w:bCs/>
          <w:sz w:val="24"/>
          <w:szCs w:val="24"/>
        </w:rPr>
        <w:t>,</w:t>
      </w:r>
      <w:r w:rsidRPr="006420D6">
        <w:rPr>
          <w:rFonts w:ascii="Times New Roman" w:hAnsi="Times New Roman"/>
          <w:bCs/>
          <w:sz w:val="24"/>
          <w:szCs w:val="24"/>
          <w:lang w:val="kk-KZ"/>
        </w:rPr>
        <w:t>8</w:t>
      </w:r>
      <w:r w:rsidRPr="006420D6">
        <w:rPr>
          <w:rFonts w:ascii="Times New Roman" w:hAnsi="Times New Roman"/>
          <w:bCs/>
          <w:sz w:val="24"/>
          <w:szCs w:val="24"/>
        </w:rPr>
        <w:t xml:space="preserve"> млн.тенге фактически поступило </w:t>
      </w:r>
      <w:r w:rsidRPr="006420D6">
        <w:rPr>
          <w:rFonts w:ascii="Times New Roman" w:hAnsi="Times New Roman"/>
          <w:bCs/>
          <w:sz w:val="24"/>
          <w:szCs w:val="24"/>
          <w:lang w:val="kk-KZ"/>
        </w:rPr>
        <w:t>41 559,4</w:t>
      </w:r>
      <w:r w:rsidRPr="006420D6">
        <w:rPr>
          <w:rFonts w:ascii="Times New Roman" w:hAnsi="Times New Roman"/>
          <w:bCs/>
          <w:sz w:val="24"/>
          <w:szCs w:val="24"/>
        </w:rPr>
        <w:t xml:space="preserve"> млн.тенге</w:t>
      </w:r>
      <w:r w:rsidRPr="006420D6">
        <w:rPr>
          <w:rFonts w:ascii="Times New Roman" w:hAnsi="Times New Roman"/>
          <w:bCs/>
          <w:sz w:val="24"/>
          <w:szCs w:val="24"/>
          <w:lang w:val="kk-KZ"/>
        </w:rPr>
        <w:t xml:space="preserve">, при этом </w:t>
      </w:r>
      <w:r w:rsidRPr="006420D6">
        <w:rPr>
          <w:rFonts w:ascii="Times New Roman" w:hAnsi="Times New Roman"/>
          <w:sz w:val="24"/>
          <w:szCs w:val="24"/>
        </w:rPr>
        <w:t xml:space="preserve">темп роста составляет </w:t>
      </w:r>
      <w:r w:rsidRPr="006420D6">
        <w:rPr>
          <w:rFonts w:ascii="Times New Roman" w:hAnsi="Times New Roman"/>
          <w:sz w:val="24"/>
          <w:szCs w:val="24"/>
          <w:lang w:val="kk-KZ"/>
        </w:rPr>
        <w:t>97</w:t>
      </w:r>
      <w:r w:rsidRPr="006420D6">
        <w:rPr>
          <w:rFonts w:ascii="Times New Roman" w:hAnsi="Times New Roman"/>
          <w:sz w:val="24"/>
          <w:szCs w:val="24"/>
        </w:rPr>
        <w:t>,</w:t>
      </w:r>
      <w:r w:rsidRPr="006420D6">
        <w:rPr>
          <w:rFonts w:ascii="Times New Roman" w:hAnsi="Times New Roman"/>
          <w:sz w:val="24"/>
          <w:szCs w:val="24"/>
          <w:lang w:val="kk-KZ"/>
        </w:rPr>
        <w:t>2</w:t>
      </w:r>
      <w:r w:rsidRPr="006420D6">
        <w:rPr>
          <w:rFonts w:ascii="Times New Roman" w:hAnsi="Times New Roman"/>
          <w:sz w:val="24"/>
          <w:szCs w:val="24"/>
        </w:rPr>
        <w:t xml:space="preserve">% или на </w:t>
      </w:r>
      <w:r w:rsidRPr="006420D6">
        <w:rPr>
          <w:rFonts w:ascii="Times New Roman" w:hAnsi="Times New Roman"/>
          <w:sz w:val="24"/>
          <w:szCs w:val="24"/>
          <w:lang w:val="kk-KZ"/>
        </w:rPr>
        <w:t>1,2</w:t>
      </w:r>
      <w:r w:rsidRPr="006420D6">
        <w:rPr>
          <w:rFonts w:ascii="Times New Roman" w:hAnsi="Times New Roman"/>
          <w:sz w:val="24"/>
          <w:szCs w:val="24"/>
        </w:rPr>
        <w:t xml:space="preserve"> млрд.тенге </w:t>
      </w:r>
      <w:r w:rsidRPr="006420D6">
        <w:rPr>
          <w:rFonts w:ascii="Times New Roman" w:hAnsi="Times New Roman"/>
          <w:sz w:val="24"/>
          <w:szCs w:val="24"/>
          <w:lang w:val="kk-KZ"/>
        </w:rPr>
        <w:t>поступило меньше.</w:t>
      </w:r>
    </w:p>
    <w:p w:rsidR="000300D5" w:rsidRPr="006420D6" w:rsidRDefault="000300D5" w:rsidP="000300D5">
      <w:pPr>
        <w:widowControl w:val="0"/>
        <w:pBdr>
          <w:bottom w:val="single" w:sz="4" w:space="0" w:color="FFFFFF"/>
        </w:pBdr>
        <w:autoSpaceDE w:val="0"/>
        <w:autoSpaceDN w:val="0"/>
        <w:adjustRightInd w:val="0"/>
        <w:spacing w:after="0" w:line="240" w:lineRule="auto"/>
        <w:ind w:right="8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0D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Неисполнение Республиканского бюджета объясняется </w:t>
      </w:r>
      <w:r w:rsidRPr="006420D6">
        <w:rPr>
          <w:rFonts w:ascii="Times New Roman" w:eastAsia="Calibri" w:hAnsi="Times New Roman" w:cs="Times New Roman"/>
          <w:sz w:val="24"/>
          <w:szCs w:val="24"/>
        </w:rPr>
        <w:t>снижение цен в мире на нефть более чем в два раза, обесценивание российского рубля, рецессия в России.</w:t>
      </w:r>
    </w:p>
    <w:p w:rsidR="000300D5" w:rsidRPr="006420D6" w:rsidRDefault="000300D5" w:rsidP="000300D5">
      <w:pPr>
        <w:widowControl w:val="0"/>
        <w:pBdr>
          <w:bottom w:val="single" w:sz="4" w:space="0" w:color="FFFFFF"/>
        </w:pBdr>
        <w:autoSpaceDE w:val="0"/>
        <w:autoSpaceDN w:val="0"/>
        <w:adjustRightInd w:val="0"/>
        <w:spacing w:after="0" w:line="240" w:lineRule="auto"/>
        <w:ind w:right="8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0D6">
        <w:rPr>
          <w:rFonts w:ascii="Times New Roman" w:eastAsia="Calibri" w:hAnsi="Times New Roman" w:cs="Times New Roman"/>
          <w:sz w:val="24"/>
          <w:szCs w:val="24"/>
        </w:rPr>
        <w:t xml:space="preserve">Внешнеторговый оборот по Актюбинской области составил </w:t>
      </w:r>
      <w:r w:rsidRPr="006420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1 632 999 </w:t>
      </w:r>
      <w:r w:rsidRPr="006420D6">
        <w:rPr>
          <w:rFonts w:ascii="Times New Roman" w:eastAsia="Calibri" w:hAnsi="Times New Roman" w:cs="Times New Roman"/>
          <w:sz w:val="24"/>
          <w:szCs w:val="24"/>
        </w:rPr>
        <w:t xml:space="preserve">тыс.долларов США, что на </w:t>
      </w:r>
      <w:r w:rsidRPr="006420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47,5% </w:t>
      </w:r>
      <w:r w:rsidRPr="006420D6">
        <w:rPr>
          <w:rFonts w:ascii="Times New Roman" w:eastAsia="Calibri" w:hAnsi="Times New Roman" w:cs="Times New Roman"/>
          <w:sz w:val="24"/>
          <w:szCs w:val="24"/>
        </w:rPr>
        <w:t>меньше, чем за аналогичный период  2014 года (</w:t>
      </w:r>
      <w:r w:rsidRPr="006420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3 112 888</w:t>
      </w:r>
      <w:r w:rsidRPr="006420D6">
        <w:rPr>
          <w:rFonts w:ascii="Times New Roman" w:eastAsia="Calibri" w:hAnsi="Times New Roman" w:cs="Times New Roman"/>
          <w:sz w:val="24"/>
          <w:szCs w:val="24"/>
        </w:rPr>
        <w:t xml:space="preserve">тыс.долл. США).  </w:t>
      </w:r>
    </w:p>
    <w:p w:rsidR="000300D5" w:rsidRPr="006420D6" w:rsidRDefault="000300D5" w:rsidP="000300D5">
      <w:pPr>
        <w:widowControl w:val="0"/>
        <w:pBdr>
          <w:bottom w:val="single" w:sz="4" w:space="0" w:color="FFFFFF"/>
        </w:pBdr>
        <w:autoSpaceDE w:val="0"/>
        <w:autoSpaceDN w:val="0"/>
        <w:adjustRightInd w:val="0"/>
        <w:spacing w:after="0" w:line="240" w:lineRule="auto"/>
        <w:ind w:right="8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0D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Основное не исполнение </w:t>
      </w:r>
      <w:r w:rsidRPr="006420D6">
        <w:rPr>
          <w:rFonts w:ascii="Times New Roman" w:eastAsia="Calibri" w:hAnsi="Times New Roman" w:cs="Times New Roman"/>
          <w:b/>
          <w:sz w:val="24"/>
          <w:szCs w:val="24"/>
          <w:u w:val="single"/>
          <w:lang w:val="kk-KZ"/>
        </w:rPr>
        <w:t>по таможенным платежам</w:t>
      </w:r>
      <w:r w:rsidRPr="006420D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6420D6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Pr="006420D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плане </w:t>
      </w:r>
      <w:r w:rsidRPr="006420D6">
        <w:rPr>
          <w:rFonts w:ascii="Times New Roman" w:eastAsia="Calibri" w:hAnsi="Times New Roman" w:cs="Times New Roman"/>
          <w:sz w:val="24"/>
          <w:szCs w:val="24"/>
        </w:rPr>
        <w:t xml:space="preserve"> 34,9 млрд.тенге, фактическое поступление составляет 27,5  млрд.тенге или не допоступило 7,4 млрд.тенге.</w:t>
      </w:r>
    </w:p>
    <w:p w:rsidR="000300D5" w:rsidRPr="006420D6" w:rsidRDefault="000300D5" w:rsidP="000300D5">
      <w:pPr>
        <w:widowControl w:val="0"/>
        <w:pBdr>
          <w:bottom w:val="single" w:sz="4" w:space="0" w:color="FFFFFF"/>
        </w:pBdr>
        <w:autoSpaceDE w:val="0"/>
        <w:autoSpaceDN w:val="0"/>
        <w:adjustRightInd w:val="0"/>
        <w:spacing w:after="0" w:line="240" w:lineRule="auto"/>
        <w:ind w:right="8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0D6">
        <w:rPr>
          <w:rFonts w:ascii="Times New Roman" w:eastAsia="Calibri" w:hAnsi="Times New Roman" w:cs="Times New Roman"/>
          <w:sz w:val="24"/>
          <w:szCs w:val="24"/>
        </w:rPr>
        <w:t>- неисполнение по экспортной таможенной пошлине на 6</w:t>
      </w:r>
      <w:r w:rsidRPr="006420D6">
        <w:rPr>
          <w:rFonts w:ascii="Times New Roman" w:eastAsia="Calibri" w:hAnsi="Times New Roman" w:cs="Times New Roman"/>
          <w:sz w:val="24"/>
          <w:szCs w:val="24"/>
          <w:lang w:val="kk-KZ"/>
        </w:rPr>
        <w:t>,</w:t>
      </w:r>
      <w:r w:rsidRPr="006420D6">
        <w:rPr>
          <w:rFonts w:ascii="Times New Roman" w:eastAsia="Calibri" w:hAnsi="Times New Roman" w:cs="Times New Roman"/>
          <w:sz w:val="24"/>
          <w:szCs w:val="24"/>
        </w:rPr>
        <w:t xml:space="preserve">0 млрд.тенге и НДС на импорт 1,0 млрд.тенге. </w:t>
      </w:r>
      <w:r w:rsidRPr="006420D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Неисполнение по НДС на импорт объясняется снижением импорта на 54,4%.  Н</w:t>
      </w:r>
      <w:r w:rsidRPr="006420D6">
        <w:rPr>
          <w:rFonts w:ascii="Times New Roman" w:eastAsia="Calibri" w:hAnsi="Times New Roman" w:cs="Times New Roman"/>
          <w:sz w:val="24"/>
          <w:szCs w:val="24"/>
        </w:rPr>
        <w:t>а импорт в течении 1 полугодия 2015 года о оформлено товаров на сумму 368</w:t>
      </w:r>
      <w:r w:rsidRPr="006420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млн</w:t>
      </w:r>
      <w:r w:rsidRPr="006420D6">
        <w:rPr>
          <w:rFonts w:ascii="Times New Roman" w:eastAsia="Calibri" w:hAnsi="Times New Roman" w:cs="Times New Roman"/>
          <w:sz w:val="24"/>
          <w:szCs w:val="24"/>
        </w:rPr>
        <w:t>.долларов США, что на 439,5 млн.долларов меньше в сравнении с аналогичным периодом прошлого года.  Так как  наблюдается уменьшение количества участников ВЭД по сравнению с аналогичным периодом прошлого года, из 730 участников ВЭД 2014 года уплативших 13,8 млрд.тенге , 468 участников ВЭД  в 2015 году оформление не производили.</w:t>
      </w:r>
    </w:p>
    <w:p w:rsidR="000300D5" w:rsidRPr="006420D6" w:rsidRDefault="000300D5" w:rsidP="000300D5">
      <w:pPr>
        <w:widowControl w:val="0"/>
        <w:pBdr>
          <w:bottom w:val="single" w:sz="4" w:space="0" w:color="FFFFFF"/>
        </w:pBdr>
        <w:autoSpaceDE w:val="0"/>
        <w:autoSpaceDN w:val="0"/>
        <w:adjustRightInd w:val="0"/>
        <w:spacing w:after="0" w:line="240" w:lineRule="auto"/>
        <w:ind w:right="85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20D6">
        <w:rPr>
          <w:rFonts w:ascii="Times New Roman" w:eastAsia="Calibri" w:hAnsi="Times New Roman" w:cs="Times New Roman"/>
          <w:b/>
          <w:sz w:val="24"/>
          <w:szCs w:val="24"/>
        </w:rPr>
        <w:t>По  вывозной таможенной пошлины на сырую нефть</w:t>
      </w:r>
    </w:p>
    <w:p w:rsidR="000300D5" w:rsidRPr="006420D6" w:rsidRDefault="000300D5" w:rsidP="000300D5">
      <w:pPr>
        <w:widowControl w:val="0"/>
        <w:pBdr>
          <w:bottom w:val="single" w:sz="4" w:space="0" w:color="FFFFFF"/>
        </w:pBdr>
        <w:autoSpaceDE w:val="0"/>
        <w:autoSpaceDN w:val="0"/>
        <w:adjustRightInd w:val="0"/>
        <w:spacing w:after="0" w:line="240" w:lineRule="auto"/>
        <w:ind w:right="85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0D6">
        <w:rPr>
          <w:rFonts w:ascii="Times New Roman" w:eastAsia="Calibri" w:hAnsi="Times New Roman" w:cs="Times New Roman"/>
          <w:sz w:val="24"/>
          <w:szCs w:val="24"/>
        </w:rPr>
        <w:t>При плане вывозной таможенной пошлины на нефть 25, 4 млрд.тенге, поступило 19,4 млрд.тенге или 76,5%. Недобор в абсолютном выражении составил 5, 9 млрд.тенге.</w:t>
      </w:r>
    </w:p>
    <w:p w:rsidR="000300D5" w:rsidRPr="000300D5" w:rsidRDefault="000300D5" w:rsidP="000300D5">
      <w:pPr>
        <w:widowControl w:val="0"/>
        <w:pBdr>
          <w:bottom w:val="single" w:sz="4" w:space="0" w:color="FFFFFF"/>
        </w:pBdr>
        <w:autoSpaceDE w:val="0"/>
        <w:autoSpaceDN w:val="0"/>
        <w:adjustRightInd w:val="0"/>
        <w:spacing w:after="0" w:line="240" w:lineRule="auto"/>
        <w:ind w:right="85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420D6">
        <w:rPr>
          <w:rFonts w:ascii="Times New Roman" w:eastAsia="Calibri" w:hAnsi="Times New Roman" w:cs="Times New Roman"/>
          <w:sz w:val="24"/>
          <w:szCs w:val="24"/>
        </w:rPr>
        <w:t xml:space="preserve">- предоставление КВОТЫ за январь-июнь 2015г составило 1490,8 тыс.тонн с суммой поступления ЭТП 19,4 млрд.тенге , что составляет 76,5 % исполнения:- </w:t>
      </w:r>
      <w:r w:rsidRPr="006420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 6 месяцев 2015г.   оформлено 1953,8 тыс.тонн нефти стоимостью 952 882 тыс.долл.США, также был оформлен нефтепродукт СНО в объеме 4 996 тонн. По сравнению с аналогичным периодом 2014 года меньше на 152,6 тыс.тонн, но при снижении общего объема оформления нефти на экспорт в отчетном периоде наблюдается увеличением поступлений сумм по экспортной пошлине на нефть на 1,9 млрд.тенге, так как в первом квартале 2015.г. ставка ЭТП на нефть составляла 80 долларов США за 1тонну (ПП РК от 11 марта 2014 г </w:t>
      </w:r>
      <w:r w:rsidRPr="006420D6">
        <w:rPr>
          <w:rFonts w:ascii="Times New Roman" w:eastAsia="Segoe UI Symbol" w:hAnsi="Times New Roman" w:cs="Times New Roman"/>
          <w:color w:val="000000"/>
          <w:sz w:val="24"/>
          <w:szCs w:val="24"/>
        </w:rPr>
        <w:t>№</w:t>
      </w:r>
      <w:r w:rsidRPr="006420D6">
        <w:rPr>
          <w:rFonts w:ascii="Times New Roman" w:eastAsia="Calibri" w:hAnsi="Times New Roman" w:cs="Times New Roman"/>
          <w:color w:val="000000"/>
          <w:sz w:val="24"/>
          <w:szCs w:val="24"/>
        </w:rPr>
        <w:t>211 утверждена вывозная таможенная пошлина на нефть в размере 80 долларов за тонну), тогда как в первом квартале прошлого года эта ставка равнялась 60 долларов США.</w:t>
      </w:r>
    </w:p>
    <w:p w:rsidR="000300D5" w:rsidRPr="006420D6" w:rsidRDefault="000300D5" w:rsidP="000300D5">
      <w:pPr>
        <w:widowControl w:val="0"/>
        <w:pBdr>
          <w:bottom w:val="single" w:sz="4" w:space="0" w:color="FFFFFF"/>
        </w:pBdr>
        <w:autoSpaceDE w:val="0"/>
        <w:autoSpaceDN w:val="0"/>
        <w:adjustRightInd w:val="0"/>
        <w:spacing w:after="0" w:line="240" w:lineRule="auto"/>
        <w:ind w:right="85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420D6">
        <w:rPr>
          <w:rFonts w:ascii="Times New Roman" w:eastAsia="Calibri" w:hAnsi="Times New Roman" w:cs="Times New Roman"/>
          <w:sz w:val="24"/>
          <w:szCs w:val="24"/>
        </w:rPr>
        <w:t xml:space="preserve">В целях исполнения прогнозных показателей, выявления дополнительных резервов по обеспечению бюджета проведены мероприятия по администрированию налогов, таможенных платежей и других обязательных платежей в бюджет дополнительно обеспечено в бюджет </w:t>
      </w:r>
      <w:r w:rsidRPr="006420D6">
        <w:rPr>
          <w:rFonts w:ascii="Times New Roman" w:eastAsia="Calibri" w:hAnsi="Times New Roman" w:cs="Times New Roman"/>
          <w:b/>
          <w:sz w:val="24"/>
          <w:szCs w:val="24"/>
        </w:rPr>
        <w:t>1,1 млрд.тенге.</w:t>
      </w:r>
    </w:p>
    <w:p w:rsidR="000300D5" w:rsidRPr="006420D6" w:rsidRDefault="000300D5" w:rsidP="000300D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6420D6">
        <w:rPr>
          <w:rFonts w:ascii="Times New Roman" w:hAnsi="Times New Roman"/>
          <w:sz w:val="24"/>
          <w:szCs w:val="24"/>
        </w:rPr>
        <w:t xml:space="preserve">По результатам контрольно- экономической работы за 6 месяцев 2015 года  в целом по области  проведено 830 документальных проверок  хозяйствующих субъектов,  в т.ч. 128 комплексных, 73 тематических и 629 встречных проверок. </w:t>
      </w:r>
    </w:p>
    <w:p w:rsidR="000300D5" w:rsidRPr="006420D6" w:rsidRDefault="000300D5" w:rsidP="000300D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6420D6">
        <w:rPr>
          <w:rFonts w:ascii="Times New Roman" w:hAnsi="Times New Roman"/>
          <w:sz w:val="24"/>
          <w:szCs w:val="24"/>
        </w:rPr>
        <w:t>По результатам  комплексных  и  тематических  проверок   доначислено      (налог + пеня)  27 306,2 млн.тенге,  взыскано 995,7 млн.тенге, из них по актам прошлых лет  980,5 млн. тенге, из них в республиканский бюджет поступило 864,2 млн.тенге, в местный бюджет 131,5 млн.тенге.</w:t>
      </w:r>
    </w:p>
    <w:p w:rsidR="000300D5" w:rsidRPr="006420D6" w:rsidRDefault="000300D5" w:rsidP="000300D5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6420D6">
        <w:rPr>
          <w:rFonts w:ascii="Times New Roman" w:hAnsi="Times New Roman"/>
          <w:sz w:val="24"/>
          <w:szCs w:val="24"/>
        </w:rPr>
        <w:t xml:space="preserve">Уменьшено убытков на  1 613,2 млн. тенге. </w:t>
      </w:r>
    </w:p>
    <w:p w:rsidR="000300D5" w:rsidRPr="006420D6" w:rsidRDefault="000300D5" w:rsidP="000300D5">
      <w:pPr>
        <w:pStyle w:val="a6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420D6">
        <w:rPr>
          <w:rFonts w:ascii="Times New Roman" w:hAnsi="Times New Roman"/>
          <w:sz w:val="24"/>
          <w:szCs w:val="24"/>
          <w:lang w:val="kk-KZ"/>
        </w:rPr>
        <w:lastRenderedPageBreak/>
        <w:t>Также</w:t>
      </w:r>
      <w:r w:rsidRPr="006420D6">
        <w:rPr>
          <w:rFonts w:ascii="Times New Roman" w:hAnsi="Times New Roman"/>
          <w:sz w:val="24"/>
          <w:szCs w:val="24"/>
        </w:rPr>
        <w:t>,</w:t>
      </w:r>
      <w:r w:rsidRPr="006420D6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420D6">
        <w:rPr>
          <w:rFonts w:ascii="Times New Roman" w:eastAsia="Calibri" w:hAnsi="Times New Roman"/>
          <w:sz w:val="24"/>
          <w:szCs w:val="24"/>
          <w:lang w:eastAsia="en-US"/>
        </w:rPr>
        <w:t xml:space="preserve">Департаментом государственных доходов по Актюбинской области проводится целенаправленная работа в отношении налогоплательщиков несвоевременно и не в полном объеме исполняющих налоговые обязательства. </w:t>
      </w:r>
    </w:p>
    <w:p w:rsidR="000300D5" w:rsidRPr="006420D6" w:rsidRDefault="000300D5" w:rsidP="000300D5">
      <w:pPr>
        <w:pStyle w:val="a4"/>
        <w:ind w:left="0" w:firstLine="708"/>
        <w:contextualSpacing/>
        <w:jc w:val="both"/>
      </w:pPr>
      <w:r w:rsidRPr="006420D6">
        <w:rPr>
          <w:rFonts w:eastAsia="Calibri"/>
        </w:rPr>
        <w:t xml:space="preserve">В результате принятия комплексных мер  принудительного взыскания  с начала  2015 года обеспечено взыскание задолженности в </w:t>
      </w:r>
      <w:r w:rsidRPr="006420D6">
        <w:rPr>
          <w:lang w:val="kk-KZ"/>
        </w:rPr>
        <w:t xml:space="preserve"> – </w:t>
      </w:r>
      <w:r w:rsidRPr="006420D6">
        <w:rPr>
          <w:b/>
        </w:rPr>
        <w:t>3 120</w:t>
      </w:r>
      <w:r w:rsidRPr="006420D6">
        <w:rPr>
          <w:b/>
          <w:lang w:val="kk-KZ"/>
        </w:rPr>
        <w:t xml:space="preserve"> млн.тенге</w:t>
      </w:r>
      <w:r w:rsidRPr="006420D6">
        <w:rPr>
          <w:lang w:val="kk-KZ"/>
        </w:rPr>
        <w:t>, в том числе за счет приостановления расходных операций по банковским счетам и</w:t>
      </w:r>
      <w:r w:rsidRPr="006420D6">
        <w:rPr>
          <w:lang w:val="be-BY"/>
        </w:rPr>
        <w:t xml:space="preserve"> приостановления расходных операций по кассе налогоплательщика на сумму 2903,3 млн.тенге, по выставленным инкассовым распоряжениям 72,6 млн.тенге, за счет выставления инкассовых распоряжений на счета дебиторов на сумму 141,8  млн.тенге, за счет</w:t>
      </w:r>
      <w:r w:rsidRPr="006420D6">
        <w:t xml:space="preserve">  реализованного на аукционе ограниченного в распоряжении имущества на сумму 2, 3 млн. тенге.</w:t>
      </w:r>
    </w:p>
    <w:p w:rsidR="000300D5" w:rsidRPr="006420D6" w:rsidRDefault="000300D5" w:rsidP="000300D5">
      <w:pPr>
        <w:pStyle w:val="a4"/>
        <w:ind w:left="0" w:firstLine="708"/>
        <w:contextualSpacing/>
        <w:jc w:val="both"/>
      </w:pPr>
      <w:r w:rsidRPr="006420D6">
        <w:t xml:space="preserve">Взыскана задолженность прошлых лет на сумму  на </w:t>
      </w:r>
      <w:r w:rsidRPr="006420D6">
        <w:rPr>
          <w:b/>
        </w:rPr>
        <w:t>467,8</w:t>
      </w:r>
      <w:r w:rsidRPr="006420D6">
        <w:t xml:space="preserve"> млн.тенге, в том числе поступило в Республиканский бюджет 434,0 млн.тенге, в местный бюджет -34 млн.тенге.</w:t>
      </w:r>
    </w:p>
    <w:p w:rsidR="000300D5" w:rsidRPr="006420D6" w:rsidRDefault="000300D5" w:rsidP="000300D5">
      <w:pPr>
        <w:pStyle w:val="a4"/>
        <w:ind w:left="0" w:firstLine="708"/>
        <w:contextualSpacing/>
        <w:jc w:val="both"/>
        <w:rPr>
          <w:color w:val="000000"/>
        </w:rPr>
      </w:pPr>
      <w:r w:rsidRPr="006420D6">
        <w:rPr>
          <w:rFonts w:eastAsia="Calibri"/>
        </w:rPr>
        <w:t>В соответствии со статьями НК 614, ст 620 «Признание налогоплательщика (налогового агента) банкротом» и  законодательным актам Республики Казахстан</w:t>
      </w:r>
      <w:r w:rsidRPr="006420D6">
        <w:t xml:space="preserve"> признано банкротами 28 должников на общую сумму задолженности 4 758,2 млн.тенге, в том числе по основному долгу  на </w:t>
      </w:r>
      <w:r w:rsidRPr="006420D6">
        <w:rPr>
          <w:b/>
        </w:rPr>
        <w:t>2 842,3</w:t>
      </w:r>
      <w:r w:rsidRPr="006420D6">
        <w:t xml:space="preserve"> млн.тенге, з</w:t>
      </w:r>
      <w:r w:rsidRPr="006420D6">
        <w:rPr>
          <w:color w:val="000000"/>
        </w:rPr>
        <w:t xml:space="preserve">а счет применении ускоренной процедуры реабилитации - </w:t>
      </w:r>
      <w:r w:rsidRPr="006420D6">
        <w:rPr>
          <w:b/>
          <w:color w:val="000000"/>
        </w:rPr>
        <w:t>301,2</w:t>
      </w:r>
      <w:r w:rsidRPr="006420D6">
        <w:rPr>
          <w:color w:val="000000"/>
          <w:lang w:val="kk-KZ"/>
        </w:rPr>
        <w:t xml:space="preserve"> млн</w:t>
      </w:r>
      <w:r w:rsidRPr="006420D6">
        <w:rPr>
          <w:color w:val="000000"/>
        </w:rPr>
        <w:t>.тенге;</w:t>
      </w:r>
    </w:p>
    <w:p w:rsidR="000300D5" w:rsidRPr="006420D6" w:rsidRDefault="000300D5" w:rsidP="000300D5">
      <w:pPr>
        <w:pStyle w:val="a4"/>
        <w:widowControl w:val="0"/>
        <w:pBdr>
          <w:bottom w:val="single" w:sz="4" w:space="31" w:color="FFFFFF"/>
        </w:pBdr>
        <w:autoSpaceDE w:val="0"/>
        <w:autoSpaceDN w:val="0"/>
        <w:adjustRightInd w:val="0"/>
        <w:ind w:left="0" w:right="85" w:firstLine="708"/>
      </w:pPr>
      <w:r w:rsidRPr="006420D6">
        <w:t>Таким образом, с учётом сложившихся тенденций развития экономики страны с начала года и ситуации в мировой экономике предполагается медленный, но поступательный прирост экономики региона в 2015 году.</w:t>
      </w:r>
    </w:p>
    <w:p w:rsidR="000300D5" w:rsidRPr="006420D6" w:rsidRDefault="000300D5" w:rsidP="000300D5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0D6">
        <w:rPr>
          <w:rFonts w:ascii="Times New Roman" w:eastAsia="Calibri" w:hAnsi="Times New Roman" w:cs="Times New Roman"/>
          <w:sz w:val="24"/>
          <w:szCs w:val="24"/>
        </w:rPr>
        <w:t>В целом поступательное развитие региона будет обеспечено за счет проведения мер рациональной</w:t>
      </w:r>
      <w:r w:rsidRPr="006420D6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6420D6">
        <w:rPr>
          <w:rFonts w:ascii="Times New Roman" w:eastAsia="Calibri" w:hAnsi="Times New Roman" w:cs="Times New Roman"/>
          <w:sz w:val="24"/>
          <w:szCs w:val="24"/>
        </w:rPr>
        <w:t>социально-экономической политики, и направлена на реализацию мер, определенных в Послании Главы государства народу Казахстана от 17 января 2014 года «Казахстанский путь – 2050: Единая цель, единые интересы, единое будущее».</w:t>
      </w:r>
    </w:p>
    <w:p w:rsidR="000300D5" w:rsidRPr="006420D6" w:rsidRDefault="000300D5" w:rsidP="000300D5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420D6">
        <w:rPr>
          <w:rFonts w:ascii="Times New Roman" w:eastAsia="Calibri" w:hAnsi="Times New Roman" w:cs="Times New Roman"/>
          <w:bCs/>
          <w:sz w:val="24"/>
          <w:szCs w:val="24"/>
        </w:rPr>
        <w:t>Основная цель социально-экономической политики Актюбинской области в среднесрочном периоде – это продолжение реализации нового курса развития, обеспечение эффективного и качественного роста экономики за счет стабильных темпов роста доходов, инвестиций в производство и человеческий капитал.</w:t>
      </w:r>
    </w:p>
    <w:p w:rsidR="000300D5" w:rsidRPr="006420D6" w:rsidRDefault="000300D5" w:rsidP="000300D5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 w:firstLine="708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6420D6">
        <w:rPr>
          <w:rFonts w:ascii="Times New Roman" w:eastAsia="Calibri" w:hAnsi="Times New Roman" w:cs="Times New Roman"/>
          <w:sz w:val="24"/>
          <w:szCs w:val="24"/>
        </w:rPr>
        <w:t xml:space="preserve">На среднесрочный период </w:t>
      </w:r>
      <w:r w:rsidRPr="006420D6">
        <w:rPr>
          <w:rFonts w:ascii="Times New Roman" w:eastAsia="Calibri" w:hAnsi="Times New Roman" w:cs="Times New Roman"/>
          <w:b/>
          <w:sz w:val="24"/>
          <w:szCs w:val="24"/>
        </w:rPr>
        <w:t>основными приоритетами</w:t>
      </w:r>
      <w:r w:rsidRPr="006420D6">
        <w:rPr>
          <w:rFonts w:ascii="Times New Roman" w:eastAsia="Calibri" w:hAnsi="Times New Roman" w:cs="Times New Roman"/>
          <w:sz w:val="24"/>
          <w:szCs w:val="24"/>
        </w:rPr>
        <w:t xml:space="preserve"> социально-экономической политики области </w:t>
      </w:r>
      <w:r w:rsidRPr="006420D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определены:</w:t>
      </w:r>
    </w:p>
    <w:p w:rsidR="000300D5" w:rsidRPr="006420D6" w:rsidRDefault="000300D5" w:rsidP="000300D5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0D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1) </w:t>
      </w:r>
      <w:r w:rsidRPr="006420D6">
        <w:rPr>
          <w:rFonts w:ascii="Times New Roman" w:eastAsia="Calibri" w:hAnsi="Times New Roman" w:cs="Times New Roman"/>
          <w:sz w:val="24"/>
          <w:szCs w:val="24"/>
        </w:rPr>
        <w:t xml:space="preserve">сохранение социально-экономической стабильности; </w:t>
      </w:r>
    </w:p>
    <w:p w:rsidR="000300D5" w:rsidRPr="006420D6" w:rsidRDefault="000300D5" w:rsidP="000300D5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0D6">
        <w:rPr>
          <w:rFonts w:ascii="Times New Roman" w:eastAsia="Calibri" w:hAnsi="Times New Roman" w:cs="Times New Roman"/>
          <w:sz w:val="24"/>
          <w:szCs w:val="24"/>
        </w:rPr>
        <w:t>2)</w:t>
      </w:r>
      <w:r w:rsidRPr="006420D6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Pr="006420D6">
        <w:rPr>
          <w:rFonts w:ascii="Times New Roman" w:eastAsia="Calibri" w:hAnsi="Times New Roman" w:cs="Times New Roman"/>
          <w:sz w:val="24"/>
          <w:szCs w:val="24"/>
        </w:rPr>
        <w:t>обеспечение устойчивого роста экономики;</w:t>
      </w:r>
    </w:p>
    <w:p w:rsidR="000300D5" w:rsidRPr="006420D6" w:rsidRDefault="000300D5" w:rsidP="000300D5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0D6">
        <w:rPr>
          <w:rFonts w:ascii="Times New Roman" w:eastAsia="Calibri" w:hAnsi="Times New Roman" w:cs="Times New Roman"/>
          <w:sz w:val="24"/>
          <w:szCs w:val="24"/>
        </w:rPr>
        <w:t>3) социальная модернизация.</w:t>
      </w:r>
    </w:p>
    <w:p w:rsidR="000300D5" w:rsidRPr="006420D6" w:rsidRDefault="000300D5" w:rsidP="000300D5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420D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Увеличению налоговых поступлений будут способствовать прогнозируемый рост экономики, рост импорта товаров, увеличение производства в отраслях, в том числе с учетом ввода новых производств в рамках </w:t>
      </w:r>
      <w:r w:rsidRPr="006420D6">
        <w:rPr>
          <w:rFonts w:ascii="Times New Roman" w:eastAsia="Calibri" w:hAnsi="Times New Roman" w:cs="Times New Roman"/>
          <w:sz w:val="24"/>
          <w:szCs w:val="24"/>
        </w:rPr>
        <w:t>реализации инвестиционных проектов Карты индустриализации.</w:t>
      </w:r>
    </w:p>
    <w:p w:rsidR="000300D5" w:rsidRPr="006420D6" w:rsidRDefault="000300D5" w:rsidP="000300D5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300D5" w:rsidRDefault="000300D5" w:rsidP="000300D5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/>
        <w:contextualSpacing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0300D5" w:rsidRPr="006420D6" w:rsidRDefault="000300D5" w:rsidP="000300D5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20D6">
        <w:rPr>
          <w:rFonts w:ascii="Times New Roman" w:hAnsi="Times New Roman" w:cs="Times New Roman"/>
          <w:b/>
          <w:sz w:val="24"/>
          <w:szCs w:val="24"/>
          <w:lang w:val="kk-KZ"/>
        </w:rPr>
        <w:t>Управление анализа и рисков</w:t>
      </w:r>
    </w:p>
    <w:p w:rsidR="000300D5" w:rsidRPr="006420D6" w:rsidRDefault="000300D5" w:rsidP="000300D5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420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Депарптамента государственных доходов </w:t>
      </w:r>
    </w:p>
    <w:p w:rsidR="000300D5" w:rsidRPr="006420D6" w:rsidRDefault="000300D5" w:rsidP="000300D5">
      <w:pPr>
        <w:widowControl w:val="0"/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right="85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420D6">
        <w:rPr>
          <w:rFonts w:ascii="Times New Roman" w:hAnsi="Times New Roman" w:cs="Times New Roman"/>
          <w:b/>
          <w:sz w:val="24"/>
          <w:szCs w:val="24"/>
          <w:lang w:val="kk-KZ"/>
        </w:rPr>
        <w:t>по Актюбинской области</w:t>
      </w:r>
    </w:p>
    <w:p w:rsidR="000300D5" w:rsidRPr="001B4F60" w:rsidRDefault="000300D5" w:rsidP="000300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0300D5" w:rsidRDefault="000300D5" w:rsidP="00FA3316">
      <w:pPr>
        <w:spacing w:after="0"/>
        <w:ind w:firstLine="709"/>
        <w:jc w:val="center"/>
        <w:rPr>
          <w:rFonts w:ascii="Times New Roman" w:hAnsi="Times New Roman"/>
          <w:b/>
          <w:i/>
          <w:color w:val="000000"/>
          <w:sz w:val="23"/>
          <w:szCs w:val="23"/>
        </w:rPr>
      </w:pPr>
    </w:p>
    <w:sectPr w:rsidR="000300D5" w:rsidSect="0000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698"/>
    <w:multiLevelType w:val="hybridMultilevel"/>
    <w:tmpl w:val="D322528E"/>
    <w:lvl w:ilvl="0" w:tplc="B1EC174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073B24EE"/>
    <w:multiLevelType w:val="hybridMultilevel"/>
    <w:tmpl w:val="82D0F4AC"/>
    <w:lvl w:ilvl="0" w:tplc="C0F8937C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25880747"/>
    <w:multiLevelType w:val="hybridMultilevel"/>
    <w:tmpl w:val="D5082946"/>
    <w:lvl w:ilvl="0" w:tplc="CA22F7C4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6B8B78BC"/>
    <w:multiLevelType w:val="hybridMultilevel"/>
    <w:tmpl w:val="93C0D8BE"/>
    <w:lvl w:ilvl="0" w:tplc="3D38060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7A9741CD"/>
    <w:multiLevelType w:val="hybridMultilevel"/>
    <w:tmpl w:val="31CE1028"/>
    <w:lvl w:ilvl="0" w:tplc="879845E8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B8A"/>
    <w:rsid w:val="00004AD9"/>
    <w:rsid w:val="00026B8A"/>
    <w:rsid w:val="000300D5"/>
    <w:rsid w:val="0010112F"/>
    <w:rsid w:val="001B426E"/>
    <w:rsid w:val="003E0C36"/>
    <w:rsid w:val="004D6735"/>
    <w:rsid w:val="00512C67"/>
    <w:rsid w:val="006A2896"/>
    <w:rsid w:val="006E67E0"/>
    <w:rsid w:val="007B3610"/>
    <w:rsid w:val="009019BC"/>
    <w:rsid w:val="009653C1"/>
    <w:rsid w:val="009B220F"/>
    <w:rsid w:val="00A32A07"/>
    <w:rsid w:val="00A95FDF"/>
    <w:rsid w:val="00A96074"/>
    <w:rsid w:val="00AF2669"/>
    <w:rsid w:val="00B10AB7"/>
    <w:rsid w:val="00B80721"/>
    <w:rsid w:val="00C1501A"/>
    <w:rsid w:val="00DB49C3"/>
    <w:rsid w:val="00EB1EBA"/>
    <w:rsid w:val="00FA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A331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3">
    <w:name w:val="Hyperlink"/>
    <w:basedOn w:val="a0"/>
    <w:rsid w:val="00FA3316"/>
    <w:rPr>
      <w:rFonts w:ascii="Times New Roman" w:hAnsi="Times New Roman" w:cs="Times New Roman" w:hint="default"/>
      <w:color w:val="333399"/>
      <w:u w:val="single"/>
    </w:rPr>
  </w:style>
  <w:style w:type="paragraph" w:styleId="a4">
    <w:name w:val="List Paragraph"/>
    <w:basedOn w:val="a"/>
    <w:link w:val="a5"/>
    <w:uiPriority w:val="34"/>
    <w:qFormat/>
    <w:rsid w:val="000300D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99"/>
    <w:qFormat/>
    <w:rsid w:val="000300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uiPriority w:val="34"/>
    <w:rsid w:val="000300D5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0300D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Юдкина</dc:creator>
  <cp:lastModifiedBy>nugmagul</cp:lastModifiedBy>
  <cp:revision>2</cp:revision>
  <cp:lastPrinted>2014-12-04T10:40:00Z</cp:lastPrinted>
  <dcterms:created xsi:type="dcterms:W3CDTF">2015-07-17T04:08:00Z</dcterms:created>
  <dcterms:modified xsi:type="dcterms:W3CDTF">2015-07-17T04:08:00Z</dcterms:modified>
</cp:coreProperties>
</file>