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E" w:rsidRPr="00F962DB" w:rsidRDefault="00F113FE" w:rsidP="00F113FE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F962DB">
        <w:rPr>
          <w:rFonts w:ascii="Times New Roman" w:eastAsia="Calibri" w:hAnsi="Times New Roman" w:cs="Times New Roman"/>
          <w:b/>
          <w:sz w:val="24"/>
          <w:szCs w:val="24"/>
        </w:rPr>
        <w:t>Исполнени</w:t>
      </w:r>
      <w:proofErr w:type="spellEnd"/>
      <w:r w:rsidR="003F54BD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 xml:space="preserve"> доходно</w:t>
      </w:r>
      <w:r w:rsidR="003F54BD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й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 xml:space="preserve"> части </w:t>
      </w:r>
      <w:r w:rsidR="003C5C68" w:rsidRPr="00F962DB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69780D" w:rsidRPr="00F962DB">
        <w:rPr>
          <w:rFonts w:ascii="Times New Roman" w:eastAsia="Calibri" w:hAnsi="Times New Roman" w:cs="Times New Roman"/>
          <w:b/>
          <w:sz w:val="24"/>
          <w:szCs w:val="24"/>
        </w:rPr>
        <w:t>полугодия</w:t>
      </w:r>
      <w:r w:rsidR="003C5C68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3C5C68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6 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3C5C68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</w:t>
      </w:r>
    </w:p>
    <w:p w:rsidR="00F113FE" w:rsidRPr="00F962DB" w:rsidRDefault="00F113FE" w:rsidP="00F113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962DB">
        <w:rPr>
          <w:rFonts w:ascii="Times New Roman" w:hAnsi="Times New Roman"/>
          <w:sz w:val="24"/>
          <w:szCs w:val="24"/>
          <w:lang w:val="kk-KZ"/>
        </w:rPr>
        <w:t>По итог</w:t>
      </w:r>
      <w:r w:rsidR="00827BDA" w:rsidRPr="00F962DB">
        <w:rPr>
          <w:rFonts w:ascii="Times New Roman" w:hAnsi="Times New Roman"/>
          <w:sz w:val="24"/>
          <w:szCs w:val="24"/>
          <w:lang w:val="kk-KZ"/>
        </w:rPr>
        <w:t>ам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 xml:space="preserve">1 </w:t>
      </w:r>
      <w:r w:rsidR="0069780D" w:rsidRPr="00F962DB">
        <w:rPr>
          <w:rFonts w:ascii="Times New Roman" w:eastAsia="Calibri" w:hAnsi="Times New Roman"/>
          <w:sz w:val="24"/>
          <w:szCs w:val="24"/>
        </w:rPr>
        <w:t>полугодия</w:t>
      </w:r>
      <w:r w:rsidR="0069780D" w:rsidRPr="00F962DB">
        <w:rPr>
          <w:rFonts w:ascii="Times New Roman" w:hAnsi="Times New Roman"/>
          <w:sz w:val="24"/>
          <w:szCs w:val="24"/>
          <w:lang w:val="kk-KZ"/>
        </w:rPr>
        <w:t xml:space="preserve"> 2</w:t>
      </w:r>
      <w:r w:rsidRPr="00F962DB">
        <w:rPr>
          <w:rFonts w:ascii="Times New Roman" w:hAnsi="Times New Roman"/>
          <w:sz w:val="24"/>
          <w:szCs w:val="24"/>
          <w:lang w:val="kk-KZ"/>
        </w:rPr>
        <w:t>01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>6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года в консолидированный бюджет Актюбинской области поступило налогов и других обязательных платежей в сумме </w:t>
      </w:r>
      <w:r w:rsidR="00AC3633" w:rsidRPr="00F962DB">
        <w:rPr>
          <w:rFonts w:ascii="Times New Roman" w:hAnsi="Times New Roman"/>
          <w:b/>
          <w:sz w:val="24"/>
          <w:szCs w:val="24"/>
          <w:lang w:val="kk-KZ"/>
        </w:rPr>
        <w:t>158 531,9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мл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>н.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тенге, в том числе в национальный фонд в сумме </w:t>
      </w:r>
      <w:r w:rsidR="00AC3633" w:rsidRPr="00F962DB">
        <w:rPr>
          <w:rFonts w:ascii="Times New Roman" w:hAnsi="Times New Roman"/>
          <w:b/>
          <w:sz w:val="24"/>
          <w:szCs w:val="24"/>
          <w:lang w:val="kk-KZ"/>
        </w:rPr>
        <w:t>32 077,0</w:t>
      </w:r>
      <w:r w:rsidR="00AC3633" w:rsidRPr="00F962D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мл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>н</w:t>
      </w:r>
      <w:r w:rsidRPr="00F962DB">
        <w:rPr>
          <w:rFonts w:ascii="Times New Roman" w:hAnsi="Times New Roman"/>
          <w:sz w:val="24"/>
          <w:szCs w:val="24"/>
          <w:lang w:val="kk-KZ"/>
        </w:rPr>
        <w:t>.тенге.</w:t>
      </w:r>
    </w:p>
    <w:p w:rsidR="00F113FE" w:rsidRPr="00F962DB" w:rsidRDefault="00F113FE" w:rsidP="00F113F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962DB">
        <w:rPr>
          <w:rFonts w:ascii="Times New Roman" w:hAnsi="Times New Roman"/>
          <w:sz w:val="24"/>
          <w:szCs w:val="24"/>
          <w:lang w:val="kk-KZ"/>
        </w:rPr>
        <w:t xml:space="preserve">Исполнение плана государственного бюджета составило </w:t>
      </w:r>
      <w:r w:rsidRPr="00F962DB">
        <w:rPr>
          <w:rFonts w:ascii="Times New Roman" w:hAnsi="Times New Roman"/>
          <w:b/>
          <w:sz w:val="24"/>
          <w:szCs w:val="24"/>
          <w:lang w:val="kk-KZ"/>
        </w:rPr>
        <w:t>1</w:t>
      </w:r>
      <w:r w:rsidR="00AC3633" w:rsidRPr="00F962DB">
        <w:rPr>
          <w:rFonts w:ascii="Times New Roman" w:hAnsi="Times New Roman"/>
          <w:b/>
          <w:sz w:val="24"/>
          <w:szCs w:val="24"/>
          <w:lang w:val="kk-KZ"/>
        </w:rPr>
        <w:t>21</w:t>
      </w:r>
      <w:r w:rsidRPr="00F962DB">
        <w:rPr>
          <w:rFonts w:ascii="Times New Roman" w:hAnsi="Times New Roman"/>
          <w:b/>
          <w:sz w:val="24"/>
          <w:szCs w:val="24"/>
          <w:lang w:val="kk-KZ"/>
        </w:rPr>
        <w:t>,</w:t>
      </w:r>
      <w:r w:rsidR="00861C0F" w:rsidRPr="00F962DB">
        <w:rPr>
          <w:rFonts w:ascii="Times New Roman" w:hAnsi="Times New Roman"/>
          <w:b/>
          <w:sz w:val="24"/>
          <w:szCs w:val="24"/>
          <w:lang w:val="kk-KZ"/>
        </w:rPr>
        <w:t>4</w:t>
      </w:r>
      <w:r w:rsidRPr="00F962DB">
        <w:rPr>
          <w:rFonts w:ascii="Times New Roman" w:hAnsi="Times New Roman"/>
          <w:b/>
          <w:sz w:val="24"/>
          <w:szCs w:val="24"/>
          <w:lang w:val="kk-KZ"/>
        </w:rPr>
        <w:t>%,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или на </w:t>
      </w:r>
      <w:r w:rsidR="003C5C68" w:rsidRPr="00F962DB">
        <w:rPr>
          <w:rFonts w:ascii="Times New Roman" w:hAnsi="Times New Roman"/>
          <w:b/>
          <w:sz w:val="24"/>
          <w:szCs w:val="24"/>
          <w:lang w:val="kk-KZ"/>
        </w:rPr>
        <w:t>2</w:t>
      </w:r>
      <w:r w:rsidR="00AC3633" w:rsidRPr="00F962DB">
        <w:rPr>
          <w:rFonts w:ascii="Times New Roman" w:hAnsi="Times New Roman"/>
          <w:b/>
          <w:sz w:val="24"/>
          <w:szCs w:val="24"/>
          <w:lang w:val="kk-KZ"/>
        </w:rPr>
        <w:t>2</w:t>
      </w:r>
      <w:r w:rsidR="00861C0F" w:rsidRPr="00F962DB">
        <w:rPr>
          <w:rFonts w:ascii="Times New Roman" w:hAnsi="Times New Roman"/>
          <w:b/>
          <w:sz w:val="24"/>
          <w:szCs w:val="24"/>
          <w:lang w:val="kk-KZ"/>
        </w:rPr>
        <w:t> 322,6</w:t>
      </w:r>
      <w:r w:rsidRPr="00F962D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962DB">
        <w:rPr>
          <w:rFonts w:ascii="Times New Roman" w:hAnsi="Times New Roman"/>
          <w:sz w:val="24"/>
          <w:szCs w:val="24"/>
          <w:lang w:val="kk-KZ"/>
        </w:rPr>
        <w:t>мл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>н</w:t>
      </w:r>
      <w:r w:rsidRPr="00F962DB">
        <w:rPr>
          <w:rFonts w:ascii="Times New Roman" w:hAnsi="Times New Roman"/>
          <w:sz w:val="24"/>
          <w:szCs w:val="24"/>
          <w:lang w:val="kk-KZ"/>
        </w:rPr>
        <w:t>.тенге поступило больше</w:t>
      </w:r>
      <w:r w:rsidR="003A5BC1" w:rsidRPr="00F962DB">
        <w:rPr>
          <w:rFonts w:ascii="Times New Roman" w:hAnsi="Times New Roman"/>
          <w:sz w:val="24"/>
          <w:szCs w:val="24"/>
          <w:lang w:val="kk-KZ"/>
        </w:rPr>
        <w:t xml:space="preserve"> прогнозных показателей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B46814" w:rsidRPr="00F962DB" w:rsidRDefault="00B46814" w:rsidP="00F113F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962D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24475" cy="26955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13FE" w:rsidRPr="00F962DB" w:rsidRDefault="00F113FE" w:rsidP="00F113FE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962DB">
        <w:rPr>
          <w:rFonts w:ascii="Times New Roman" w:eastAsia="Calibri" w:hAnsi="Times New Roman" w:cs="Times New Roman"/>
          <w:sz w:val="24"/>
          <w:szCs w:val="24"/>
        </w:rPr>
        <w:t>В целях исполнения прогноз</w:t>
      </w:r>
      <w:r w:rsidR="003A5BC1"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>а и</w:t>
      </w:r>
      <w:r w:rsidRPr="00F962DB">
        <w:rPr>
          <w:rFonts w:ascii="Times New Roman" w:eastAsia="Calibri" w:hAnsi="Times New Roman" w:cs="Times New Roman"/>
          <w:sz w:val="24"/>
          <w:szCs w:val="24"/>
        </w:rPr>
        <w:t xml:space="preserve"> выявления дополнительных резервов по обеспечению бюджета</w:t>
      </w:r>
      <w:r w:rsidR="003A5BC1" w:rsidRPr="00F962DB">
        <w:rPr>
          <w:rFonts w:ascii="Times New Roman" w:eastAsia="Calibri" w:hAnsi="Times New Roman" w:cs="Times New Roman"/>
          <w:sz w:val="24"/>
          <w:szCs w:val="24"/>
        </w:rPr>
        <w:t>,</w:t>
      </w:r>
      <w:r w:rsidRPr="00F962DB">
        <w:rPr>
          <w:rFonts w:ascii="Times New Roman" w:eastAsia="Calibri" w:hAnsi="Times New Roman" w:cs="Times New Roman"/>
          <w:sz w:val="24"/>
          <w:szCs w:val="24"/>
        </w:rPr>
        <w:t xml:space="preserve"> проведены мероприятия по администрированию налогов, таможенных и других обязательных платежей</w:t>
      </w:r>
      <w:r w:rsidR="003A5BC1" w:rsidRPr="00F962DB">
        <w:rPr>
          <w:rFonts w:ascii="Times New Roman" w:eastAsia="Calibri" w:hAnsi="Times New Roman" w:cs="Times New Roman"/>
          <w:sz w:val="24"/>
          <w:szCs w:val="24"/>
        </w:rPr>
        <w:t>, в результате которых</w:t>
      </w:r>
      <w:r w:rsidRPr="00F962DB">
        <w:rPr>
          <w:rFonts w:ascii="Times New Roman" w:eastAsia="Calibri" w:hAnsi="Times New Roman" w:cs="Times New Roman"/>
          <w:sz w:val="24"/>
          <w:szCs w:val="24"/>
        </w:rPr>
        <w:t xml:space="preserve"> дополнительно обеспечено в бюджет</w:t>
      </w:r>
      <w:r w:rsidR="00F17763" w:rsidRPr="00F96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71D" w:rsidRPr="00F962DB">
        <w:rPr>
          <w:rFonts w:ascii="Times New Roman" w:eastAsia="Calibri" w:hAnsi="Times New Roman" w:cs="Times New Roman"/>
          <w:b/>
          <w:sz w:val="24"/>
          <w:szCs w:val="24"/>
        </w:rPr>
        <w:t>2 456,1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 xml:space="preserve"> мл</w:t>
      </w:r>
      <w:r w:rsidR="0075643A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</w:t>
      </w:r>
      <w:proofErr w:type="gramStart"/>
      <w:r w:rsidRPr="00F962DB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F962DB">
        <w:rPr>
          <w:rFonts w:ascii="Times New Roman" w:eastAsia="Calibri" w:hAnsi="Times New Roman" w:cs="Times New Roman"/>
          <w:b/>
          <w:sz w:val="24"/>
          <w:szCs w:val="24"/>
        </w:rPr>
        <w:t>енге.</w:t>
      </w:r>
    </w:p>
    <w:p w:rsidR="00AD48B5" w:rsidRPr="00F962DB" w:rsidRDefault="00AD48B5" w:rsidP="00F962DB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  <w:r w:rsidR="00F467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B0DA0"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>П</w:t>
      </w:r>
      <w:r w:rsidRPr="00F962D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>п</w:t>
      </w:r>
      <w:r w:rsidRPr="00F962DB">
        <w:rPr>
          <w:rFonts w:ascii="Times New Roman" w:eastAsia="Calibri" w:hAnsi="Times New Roman" w:cs="Times New Roman"/>
          <w:sz w:val="24"/>
          <w:szCs w:val="24"/>
        </w:rPr>
        <w:t>лан</w:t>
      </w:r>
      <w:r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Pr="00F962DB">
        <w:rPr>
          <w:rFonts w:ascii="Times New Roman" w:eastAsia="Calibri" w:hAnsi="Times New Roman" w:cs="Times New Roman"/>
          <w:sz w:val="24"/>
          <w:szCs w:val="24"/>
        </w:rPr>
        <w:t xml:space="preserve"> мероприятий по расширению налогооблагаемой базы </w:t>
      </w:r>
      <w:r w:rsidRPr="00F962DB">
        <w:rPr>
          <w:rFonts w:ascii="Times New Roman" w:hAnsi="Times New Roman" w:cs="Times New Roman"/>
          <w:sz w:val="24"/>
          <w:szCs w:val="24"/>
          <w:lang w:val="kk-KZ"/>
        </w:rPr>
        <w:t xml:space="preserve">обеспечено дополнительных поступлений в бюджет </w:t>
      </w:r>
      <w:r w:rsidR="00E36D72" w:rsidRPr="00F962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6D72" w:rsidRPr="00F962DB">
        <w:rPr>
          <w:rFonts w:ascii="Times New Roman" w:hAnsi="Times New Roman" w:cs="Times New Roman"/>
          <w:b/>
          <w:sz w:val="24"/>
          <w:szCs w:val="24"/>
          <w:lang w:val="kk-KZ"/>
        </w:rPr>
        <w:t>1423,9</w:t>
      </w:r>
      <w:r w:rsidRPr="00F962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млн.тенге</w:t>
      </w:r>
      <w:r w:rsidRPr="00F962DB">
        <w:rPr>
          <w:rFonts w:ascii="Times New Roman" w:hAnsi="Times New Roman" w:cs="Times New Roman"/>
          <w:sz w:val="24"/>
          <w:szCs w:val="24"/>
          <w:lang w:val="kk-KZ"/>
        </w:rPr>
        <w:t>, в том числе с участием комиссии</w:t>
      </w:r>
      <w:r w:rsidR="00E36D72" w:rsidRPr="00F962DB">
        <w:rPr>
          <w:rFonts w:ascii="Times New Roman" w:hAnsi="Times New Roman" w:cs="Times New Roman"/>
          <w:sz w:val="24"/>
          <w:szCs w:val="24"/>
          <w:lang w:val="kk-KZ"/>
        </w:rPr>
        <w:t xml:space="preserve"> 330,8</w:t>
      </w:r>
      <w:r w:rsidRPr="00F962DB">
        <w:rPr>
          <w:rFonts w:ascii="Times New Roman" w:hAnsi="Times New Roman" w:cs="Times New Roman"/>
          <w:sz w:val="24"/>
          <w:szCs w:val="24"/>
          <w:lang w:val="kk-KZ"/>
        </w:rPr>
        <w:t xml:space="preserve"> млн.тенге и по проведению самостоятельных мероприяти</w:t>
      </w:r>
      <w:r w:rsidR="0007037E" w:rsidRPr="00F962DB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F962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6D72" w:rsidRPr="00F962DB">
        <w:rPr>
          <w:rFonts w:ascii="Times New Roman" w:hAnsi="Times New Roman" w:cs="Times New Roman"/>
          <w:sz w:val="24"/>
          <w:szCs w:val="24"/>
          <w:lang w:val="kk-KZ"/>
        </w:rPr>
        <w:t>1092,9</w:t>
      </w:r>
      <w:r w:rsidR="00E36D72" w:rsidRPr="00F962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962DB">
        <w:rPr>
          <w:rFonts w:ascii="Times New Roman" w:hAnsi="Times New Roman" w:cs="Times New Roman"/>
          <w:sz w:val="24"/>
          <w:szCs w:val="24"/>
          <w:lang w:val="kk-KZ"/>
        </w:rPr>
        <w:t xml:space="preserve"> млн.тенге.</w:t>
      </w:r>
    </w:p>
    <w:p w:rsidR="00314E3A" w:rsidRPr="00F962DB" w:rsidRDefault="00F46753" w:rsidP="00F96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B0DA0"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>П</w:t>
      </w:r>
      <w:proofErr w:type="spellStart"/>
      <w:r w:rsidR="00314E3A" w:rsidRPr="00F962DB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="00314E3A" w:rsidRPr="00F962DB">
        <w:rPr>
          <w:rFonts w:ascii="Times New Roman" w:eastAsia="Calibri" w:hAnsi="Times New Roman" w:cs="Times New Roman"/>
          <w:sz w:val="24"/>
          <w:szCs w:val="24"/>
        </w:rPr>
        <w:t xml:space="preserve"> осуществлении контроля таможенной стоимости и соответствия</w:t>
      </w:r>
      <w:r w:rsidR="00314E3A" w:rsidRPr="00F962DB">
        <w:rPr>
          <w:rFonts w:ascii="Times New Roman" w:hAnsi="Times New Roman" w:cs="Times New Roman"/>
          <w:sz w:val="24"/>
          <w:szCs w:val="24"/>
        </w:rPr>
        <w:t xml:space="preserve"> кодов по ТН ВЭД при импорте товаров произведено </w:t>
      </w:r>
      <w:r w:rsidR="00AB371D" w:rsidRPr="00F962DB">
        <w:rPr>
          <w:rFonts w:ascii="Times New Roman" w:hAnsi="Times New Roman" w:cs="Times New Roman"/>
          <w:b/>
          <w:sz w:val="24"/>
          <w:szCs w:val="24"/>
        </w:rPr>
        <w:t>752</w:t>
      </w:r>
      <w:r w:rsidR="00314E3A" w:rsidRPr="00F962DB">
        <w:rPr>
          <w:rFonts w:ascii="Times New Roman" w:hAnsi="Times New Roman" w:cs="Times New Roman"/>
          <w:sz w:val="24"/>
          <w:szCs w:val="24"/>
        </w:rPr>
        <w:t xml:space="preserve"> корректировок таможенной стоимости. Дополнительно начислено в бюджет </w:t>
      </w:r>
      <w:r w:rsidR="005B50C3" w:rsidRPr="00F962DB">
        <w:rPr>
          <w:rFonts w:ascii="Times New Roman" w:hAnsi="Times New Roman" w:cs="Times New Roman"/>
          <w:sz w:val="24"/>
          <w:szCs w:val="24"/>
          <w:lang w:val="kk-KZ"/>
        </w:rPr>
        <w:t xml:space="preserve">таможенных платежей </w:t>
      </w:r>
      <w:r w:rsidR="00314E3A" w:rsidRPr="00F962DB">
        <w:rPr>
          <w:rFonts w:ascii="Times New Roman" w:hAnsi="Times New Roman" w:cs="Times New Roman"/>
          <w:sz w:val="24"/>
          <w:szCs w:val="24"/>
        </w:rPr>
        <w:t xml:space="preserve">и </w:t>
      </w:r>
      <w:r w:rsidR="008E6EF0" w:rsidRPr="00F962DB">
        <w:rPr>
          <w:rFonts w:ascii="Times New Roman" w:hAnsi="Times New Roman" w:cs="Times New Roman"/>
          <w:sz w:val="24"/>
          <w:szCs w:val="24"/>
          <w:lang w:val="kk-KZ"/>
        </w:rPr>
        <w:t xml:space="preserve">налогов </w:t>
      </w:r>
      <w:r w:rsidR="00314E3A" w:rsidRPr="00F962D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B371D" w:rsidRPr="00F962DB">
        <w:rPr>
          <w:rFonts w:ascii="Times New Roman" w:hAnsi="Times New Roman" w:cs="Times New Roman"/>
          <w:b/>
          <w:sz w:val="24"/>
          <w:szCs w:val="24"/>
        </w:rPr>
        <w:t>267,3</w:t>
      </w:r>
      <w:r w:rsidR="00314E3A" w:rsidRPr="00F962DB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="00314E3A" w:rsidRPr="00F962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14E3A" w:rsidRPr="00F962DB">
        <w:rPr>
          <w:rFonts w:ascii="Times New Roman" w:hAnsi="Times New Roman" w:cs="Times New Roman"/>
          <w:sz w:val="24"/>
          <w:szCs w:val="24"/>
        </w:rPr>
        <w:t xml:space="preserve">енге. </w:t>
      </w:r>
    </w:p>
    <w:p w:rsidR="00B46814" w:rsidRPr="00F962DB" w:rsidRDefault="00F17763" w:rsidP="00F962DB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62D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B46814" w:rsidRPr="00F962DB">
        <w:rPr>
          <w:rFonts w:ascii="Times New Roman" w:eastAsia="Calibri" w:hAnsi="Times New Roman"/>
          <w:sz w:val="24"/>
          <w:szCs w:val="24"/>
          <w:lang w:eastAsia="en-US"/>
        </w:rPr>
        <w:t>В результате проведенной работы по НДС на товары, импортированные с территории государств-членов ЕАЭС в сравнении с аналогичным периодом 2015 года поступило на 1823,5 млн</w:t>
      </w:r>
      <w:proofErr w:type="gramStart"/>
      <w:r w:rsidR="00B46814" w:rsidRPr="00F962DB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="00B46814" w:rsidRPr="00F962DB">
        <w:rPr>
          <w:rFonts w:ascii="Times New Roman" w:eastAsia="Calibri" w:hAnsi="Times New Roman"/>
          <w:sz w:val="24"/>
          <w:szCs w:val="24"/>
          <w:lang w:eastAsia="en-US"/>
        </w:rPr>
        <w:t xml:space="preserve">енге больше.  </w:t>
      </w:r>
    </w:p>
    <w:p w:rsidR="00B46814" w:rsidRPr="00F962DB" w:rsidRDefault="00B46814" w:rsidP="00B46814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62DB">
        <w:rPr>
          <w:rFonts w:ascii="Times New Roman" w:eastAsia="Calibri" w:hAnsi="Times New Roman"/>
          <w:sz w:val="24"/>
          <w:szCs w:val="24"/>
          <w:lang w:eastAsia="en-US"/>
        </w:rPr>
        <w:t>С начала текущего года   2014 налогоплательщиками представлены  11</w:t>
      </w:r>
      <w:r w:rsidR="00F27223" w:rsidRPr="00F962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962DB">
        <w:rPr>
          <w:rFonts w:ascii="Times New Roman" w:eastAsia="Calibri" w:hAnsi="Times New Roman"/>
          <w:sz w:val="24"/>
          <w:szCs w:val="24"/>
          <w:lang w:eastAsia="en-US"/>
        </w:rPr>
        <w:t>923 деклараций и 12</w:t>
      </w:r>
      <w:r w:rsidR="00F27223" w:rsidRPr="00F962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962DB">
        <w:rPr>
          <w:rFonts w:ascii="Times New Roman" w:eastAsia="Calibri" w:hAnsi="Times New Roman"/>
          <w:sz w:val="24"/>
          <w:szCs w:val="24"/>
          <w:lang w:eastAsia="en-US"/>
        </w:rPr>
        <w:t xml:space="preserve">767 Заявлений о ввозе товаров и об уплате косвенных налогов. Кроме того, 257 </w:t>
      </w:r>
      <w:proofErr w:type="spellStart"/>
      <w:r w:rsidRPr="00F962DB">
        <w:rPr>
          <w:rFonts w:ascii="Times New Roman" w:eastAsia="Calibri" w:hAnsi="Times New Roman"/>
          <w:sz w:val="24"/>
          <w:szCs w:val="24"/>
          <w:lang w:eastAsia="en-US"/>
        </w:rPr>
        <w:t>импорториентированными</w:t>
      </w:r>
      <w:proofErr w:type="spellEnd"/>
      <w:r w:rsidRPr="00F962DB">
        <w:rPr>
          <w:rFonts w:ascii="Times New Roman" w:eastAsia="Calibri" w:hAnsi="Times New Roman"/>
          <w:sz w:val="24"/>
          <w:szCs w:val="24"/>
          <w:lang w:eastAsia="en-US"/>
        </w:rPr>
        <w:t xml:space="preserve"> налогоплательщиками обеспечено поступление свыше 644</w:t>
      </w:r>
      <w:r w:rsidR="00F27223" w:rsidRPr="00F962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962DB">
        <w:rPr>
          <w:rFonts w:ascii="Times New Roman" w:eastAsia="Calibri" w:hAnsi="Times New Roman"/>
          <w:sz w:val="24"/>
          <w:szCs w:val="24"/>
          <w:lang w:eastAsia="en-US"/>
        </w:rPr>
        <w:t>128,8 тыс</w:t>
      </w:r>
      <w:proofErr w:type="gramStart"/>
      <w:r w:rsidRPr="00F962DB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Pr="00F962DB">
        <w:rPr>
          <w:rFonts w:ascii="Times New Roman" w:eastAsia="Calibri" w:hAnsi="Times New Roman"/>
          <w:sz w:val="24"/>
          <w:szCs w:val="24"/>
          <w:lang w:eastAsia="en-US"/>
        </w:rPr>
        <w:t>енге, тогда как в аналогичном периоде прошлого года вышеперечисленными налогоплательщиками не производилась оплата за импортированные товары со стран Таможенного союза (ЕАЭС).</w:t>
      </w:r>
    </w:p>
    <w:p w:rsidR="00B673A1" w:rsidRPr="00F962DB" w:rsidRDefault="000B0832" w:rsidP="00B46814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F962DB">
        <w:rPr>
          <w:rFonts w:ascii="Times New Roman" w:eastAsia="Calibri" w:hAnsi="Times New Roman"/>
          <w:sz w:val="24"/>
          <w:szCs w:val="24"/>
        </w:rPr>
        <w:t>Департаментом государственных доходов по Актюбинской области в рамках обеспечения исполнения прогнозных показателей усилена работа по обеспечению дополнительных платежей в бюджет в части админи</w:t>
      </w:r>
      <w:proofErr w:type="gramStart"/>
      <w:r w:rsidR="00B673A1" w:rsidRPr="00F962DB">
        <w:rPr>
          <w:rFonts w:ascii="Times New Roman" w:eastAsia="Calibri" w:hAnsi="Times New Roman"/>
          <w:sz w:val="24"/>
          <w:szCs w:val="24"/>
          <w:lang w:val="en-US"/>
        </w:rPr>
        <w:t>c</w:t>
      </w:r>
      <w:proofErr w:type="gramEnd"/>
      <w:r w:rsidRPr="00F962DB">
        <w:rPr>
          <w:rFonts w:ascii="Times New Roman" w:eastAsia="Calibri" w:hAnsi="Times New Roman"/>
          <w:sz w:val="24"/>
          <w:szCs w:val="24"/>
        </w:rPr>
        <w:t>трировани</w:t>
      </w:r>
      <w:r w:rsidR="00B673A1" w:rsidRPr="00F962DB">
        <w:rPr>
          <w:rFonts w:ascii="Times New Roman" w:eastAsia="Calibri" w:hAnsi="Times New Roman"/>
          <w:sz w:val="24"/>
          <w:szCs w:val="24"/>
        </w:rPr>
        <w:t xml:space="preserve">я налогов и таможенных платежей, проводимых мероприятий по </w:t>
      </w:r>
      <w:r w:rsidR="006F11FA" w:rsidRPr="00F962DB">
        <w:rPr>
          <w:rFonts w:ascii="Times New Roman" w:eastAsia="Calibri" w:hAnsi="Times New Roman"/>
          <w:sz w:val="24"/>
          <w:szCs w:val="24"/>
        </w:rPr>
        <w:t>расширению налогооблагаемой баз</w:t>
      </w:r>
      <w:r w:rsidR="006F11FA" w:rsidRPr="00F962DB">
        <w:rPr>
          <w:rFonts w:ascii="Times New Roman" w:eastAsia="Calibri" w:hAnsi="Times New Roman"/>
          <w:sz w:val="24"/>
          <w:szCs w:val="24"/>
          <w:lang w:val="kk-KZ"/>
        </w:rPr>
        <w:t>ы.</w:t>
      </w:r>
    </w:p>
    <w:p w:rsidR="00F962DB" w:rsidRPr="00F46753" w:rsidRDefault="00F962DB" w:rsidP="003F54B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6615" w:rsidRPr="007012DE" w:rsidRDefault="00A631E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62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6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F962DB">
        <w:rPr>
          <w:rFonts w:ascii="Times New Roman" w:hAnsi="Times New Roman" w:cs="Times New Roman"/>
          <w:b/>
          <w:i/>
          <w:sz w:val="24"/>
          <w:szCs w:val="24"/>
          <w:lang w:val="kk-KZ"/>
        </w:rPr>
        <w:t>Управлени</w:t>
      </w:r>
      <w:r w:rsidR="007012D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 анализа и рисков Департамента </w:t>
      </w:r>
      <w:r w:rsidRPr="00F962DB">
        <w:rPr>
          <w:rFonts w:ascii="Times New Roman" w:hAnsi="Times New Roman" w:cs="Times New Roman"/>
          <w:b/>
          <w:i/>
          <w:sz w:val="24"/>
          <w:szCs w:val="24"/>
          <w:lang w:val="kk-KZ"/>
        </w:rPr>
        <w:t>государственных доходов</w:t>
      </w:r>
      <w:r w:rsidR="007012D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F962DB">
        <w:rPr>
          <w:rFonts w:ascii="Times New Roman" w:hAnsi="Times New Roman" w:cs="Times New Roman"/>
          <w:b/>
          <w:i/>
          <w:sz w:val="24"/>
          <w:szCs w:val="24"/>
          <w:lang w:val="kk-KZ"/>
        </w:rPr>
        <w:t>по Актюбинской области</w:t>
      </w:r>
      <w:r w:rsidR="002217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876615" w:rsidRPr="003F54BD" w:rsidRDefault="00876615" w:rsidP="00701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012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7012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</w:t>
      </w:r>
      <w:r w:rsidR="000438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3F54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7012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 </w:t>
      </w:r>
      <w:r w:rsidR="00275B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жартыжылдықтың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3F54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кіріс бөлігінің орындалуы.</w:t>
      </w:r>
    </w:p>
    <w:p w:rsidR="00876615" w:rsidRPr="003F54BD" w:rsidRDefault="00876615" w:rsidP="00876615">
      <w:pPr>
        <w:pStyle w:val="aa"/>
        <w:rPr>
          <w:rFonts w:eastAsiaTheme="minorHAnsi"/>
          <w:szCs w:val="28"/>
          <w:lang w:val="kk-KZ" w:eastAsia="en-US"/>
        </w:rPr>
      </w:pPr>
    </w:p>
    <w:p w:rsidR="00876615" w:rsidRPr="008635E0" w:rsidRDefault="00876615" w:rsidP="00876615">
      <w:pPr>
        <w:pStyle w:val="aa"/>
        <w:rPr>
          <w:rFonts w:eastAsia="Calibri"/>
          <w:sz w:val="24"/>
          <w:lang w:val="kk-KZ" w:eastAsia="en-US"/>
        </w:rPr>
      </w:pPr>
      <w:r w:rsidRPr="008635E0">
        <w:rPr>
          <w:rFonts w:eastAsia="Calibri"/>
          <w:sz w:val="24"/>
          <w:lang w:val="kk-KZ" w:eastAsia="en-US"/>
        </w:rPr>
        <w:t>2016 ж</w:t>
      </w:r>
      <w:r w:rsidR="00043880" w:rsidRPr="008635E0">
        <w:rPr>
          <w:rFonts w:eastAsia="Calibri"/>
          <w:sz w:val="24"/>
          <w:lang w:val="kk-KZ" w:eastAsia="en-US"/>
        </w:rPr>
        <w:t>.</w:t>
      </w:r>
      <w:r w:rsidRPr="008635E0">
        <w:rPr>
          <w:rFonts w:eastAsia="Calibri"/>
          <w:sz w:val="24"/>
          <w:lang w:val="kk-KZ" w:eastAsia="en-US"/>
        </w:rPr>
        <w:t xml:space="preserve"> </w:t>
      </w:r>
      <w:r w:rsidR="00043880" w:rsidRPr="008635E0">
        <w:rPr>
          <w:rFonts w:eastAsia="Calibri"/>
          <w:sz w:val="24"/>
          <w:lang w:val="kk-KZ" w:eastAsia="en-US"/>
        </w:rPr>
        <w:t xml:space="preserve">1 </w:t>
      </w:r>
      <w:r w:rsidR="005E699A" w:rsidRPr="008635E0">
        <w:rPr>
          <w:rFonts w:eastAsia="Calibri"/>
          <w:sz w:val="24"/>
          <w:lang w:val="kk-KZ" w:eastAsia="en-US"/>
        </w:rPr>
        <w:t>жартыжылды</w:t>
      </w:r>
      <w:r w:rsidR="0092524C">
        <w:rPr>
          <w:rFonts w:eastAsia="Calibri"/>
          <w:sz w:val="24"/>
          <w:lang w:val="kk-KZ" w:eastAsia="en-US"/>
        </w:rPr>
        <w:t>ғының</w:t>
      </w:r>
      <w:r w:rsidR="00043880" w:rsidRPr="008635E0">
        <w:rPr>
          <w:rFonts w:eastAsia="Calibri"/>
          <w:sz w:val="24"/>
          <w:lang w:val="kk-KZ" w:eastAsia="en-US"/>
        </w:rPr>
        <w:t xml:space="preserve"> </w:t>
      </w:r>
      <w:r w:rsidRPr="008635E0">
        <w:rPr>
          <w:rFonts w:eastAsia="Calibri"/>
          <w:sz w:val="24"/>
          <w:lang w:val="kk-KZ" w:eastAsia="en-US"/>
        </w:rPr>
        <w:t xml:space="preserve">қортындысы бойынша Ақтөбе облысының салық және басқа да міндетті төлемдердің жалпы түсімі </w:t>
      </w:r>
      <w:r w:rsidR="005E699A" w:rsidRPr="008635E0">
        <w:rPr>
          <w:rFonts w:eastAsia="Calibri"/>
          <w:sz w:val="24"/>
          <w:lang w:val="kk-KZ" w:eastAsia="en-US"/>
        </w:rPr>
        <w:t>158</w:t>
      </w:r>
      <w:r w:rsidR="00043880" w:rsidRPr="008635E0">
        <w:rPr>
          <w:rFonts w:eastAsia="Calibri"/>
          <w:sz w:val="24"/>
          <w:lang w:val="kk-KZ" w:eastAsia="en-US"/>
        </w:rPr>
        <w:t xml:space="preserve"> </w:t>
      </w:r>
      <w:r w:rsidR="005E699A" w:rsidRPr="008635E0">
        <w:rPr>
          <w:rFonts w:eastAsia="Calibri"/>
          <w:sz w:val="24"/>
          <w:lang w:val="kk-KZ" w:eastAsia="en-US"/>
        </w:rPr>
        <w:t>531</w:t>
      </w:r>
      <w:r w:rsidRPr="008635E0">
        <w:rPr>
          <w:rFonts w:eastAsia="Calibri"/>
          <w:sz w:val="24"/>
          <w:lang w:val="kk-KZ" w:eastAsia="en-US"/>
        </w:rPr>
        <w:t>,</w:t>
      </w:r>
      <w:r w:rsidR="005E699A" w:rsidRPr="008635E0">
        <w:rPr>
          <w:rFonts w:eastAsia="Calibri"/>
          <w:sz w:val="24"/>
          <w:lang w:val="kk-KZ" w:eastAsia="en-US"/>
        </w:rPr>
        <w:t>9</w:t>
      </w:r>
      <w:r w:rsidRPr="008635E0">
        <w:rPr>
          <w:rFonts w:eastAsia="Calibri"/>
          <w:sz w:val="24"/>
          <w:lang w:val="kk-KZ" w:eastAsia="en-US"/>
        </w:rPr>
        <w:t xml:space="preserve"> мл</w:t>
      </w:r>
      <w:r w:rsidR="00043880" w:rsidRPr="008635E0">
        <w:rPr>
          <w:rFonts w:eastAsia="Calibri"/>
          <w:sz w:val="24"/>
          <w:lang w:val="kk-KZ" w:eastAsia="en-US"/>
        </w:rPr>
        <w:t>н</w:t>
      </w:r>
      <w:r w:rsidRPr="008635E0">
        <w:rPr>
          <w:rFonts w:eastAsia="Calibri"/>
          <w:sz w:val="24"/>
          <w:lang w:val="kk-KZ" w:eastAsia="en-US"/>
        </w:rPr>
        <w:t xml:space="preserve">.теңге кұрады. Соның ішінде Ұлттық қорға </w:t>
      </w:r>
      <w:r w:rsidR="005E699A" w:rsidRPr="008635E0">
        <w:rPr>
          <w:rFonts w:eastAsia="Calibri"/>
          <w:sz w:val="24"/>
          <w:lang w:val="kk-KZ" w:eastAsia="en-US"/>
        </w:rPr>
        <w:t>32 077</w:t>
      </w:r>
      <w:r w:rsidRPr="008635E0">
        <w:rPr>
          <w:rFonts w:eastAsia="Calibri"/>
          <w:sz w:val="24"/>
          <w:lang w:val="kk-KZ" w:eastAsia="en-US"/>
        </w:rPr>
        <w:t>,</w:t>
      </w:r>
      <w:r w:rsidR="005E699A" w:rsidRPr="008635E0">
        <w:rPr>
          <w:rFonts w:eastAsia="Calibri"/>
          <w:sz w:val="24"/>
          <w:lang w:val="kk-KZ" w:eastAsia="en-US"/>
        </w:rPr>
        <w:t>0</w:t>
      </w:r>
      <w:r w:rsidRPr="008635E0">
        <w:rPr>
          <w:rFonts w:eastAsia="Calibri"/>
          <w:sz w:val="24"/>
          <w:lang w:val="kk-KZ" w:eastAsia="en-US"/>
        </w:rPr>
        <w:t xml:space="preserve"> мл</w:t>
      </w:r>
      <w:r w:rsidR="00043880" w:rsidRPr="008635E0">
        <w:rPr>
          <w:rFonts w:eastAsia="Calibri"/>
          <w:sz w:val="24"/>
          <w:lang w:val="kk-KZ" w:eastAsia="en-US"/>
        </w:rPr>
        <w:t>н</w:t>
      </w:r>
      <w:r w:rsidRPr="008635E0">
        <w:rPr>
          <w:rFonts w:eastAsia="Calibri"/>
          <w:sz w:val="24"/>
          <w:lang w:val="kk-KZ" w:eastAsia="en-US"/>
        </w:rPr>
        <w:t>.теңге түсті.</w:t>
      </w:r>
    </w:p>
    <w:p w:rsidR="00876615" w:rsidRPr="008635E0" w:rsidRDefault="00876615" w:rsidP="00876615">
      <w:pPr>
        <w:pStyle w:val="aa"/>
        <w:rPr>
          <w:rFonts w:ascii="Arial" w:eastAsia="Calibri" w:hAnsi="Arial" w:cs="Arial"/>
          <w:sz w:val="24"/>
          <w:lang w:val="kk-KZ" w:eastAsia="en-US"/>
        </w:rPr>
      </w:pPr>
      <w:r w:rsidRPr="008635E0">
        <w:rPr>
          <w:rFonts w:eastAsia="Calibri"/>
          <w:sz w:val="24"/>
          <w:lang w:val="kk-KZ" w:eastAsia="en-US"/>
        </w:rPr>
        <w:t xml:space="preserve">Мемлекеттік бюджеттің </w:t>
      </w:r>
      <w:r w:rsidR="0092524C">
        <w:rPr>
          <w:rFonts w:eastAsia="Calibri"/>
          <w:sz w:val="24"/>
          <w:lang w:val="kk-KZ" w:eastAsia="en-US"/>
        </w:rPr>
        <w:t>жарты</w:t>
      </w:r>
      <w:r w:rsidRPr="008635E0">
        <w:rPr>
          <w:rFonts w:eastAsia="Calibri"/>
          <w:sz w:val="24"/>
          <w:lang w:val="kk-KZ" w:eastAsia="en-US"/>
        </w:rPr>
        <w:t xml:space="preserve">жылдық болжамы </w:t>
      </w:r>
      <w:r w:rsidR="00043880" w:rsidRPr="008635E0">
        <w:rPr>
          <w:rFonts w:eastAsia="Calibri"/>
          <w:sz w:val="24"/>
          <w:lang w:val="kk-KZ" w:eastAsia="en-US"/>
        </w:rPr>
        <w:t>1</w:t>
      </w:r>
      <w:r w:rsidR="005E699A" w:rsidRPr="008635E0">
        <w:rPr>
          <w:rFonts w:eastAsia="Calibri"/>
          <w:sz w:val="24"/>
          <w:lang w:val="kk-KZ" w:eastAsia="en-US"/>
        </w:rPr>
        <w:t>21</w:t>
      </w:r>
      <w:r w:rsidRPr="008635E0">
        <w:rPr>
          <w:rFonts w:eastAsia="Calibri"/>
          <w:sz w:val="24"/>
          <w:lang w:val="kk-KZ" w:eastAsia="en-US"/>
        </w:rPr>
        <w:t>,</w:t>
      </w:r>
      <w:r w:rsidR="005E699A" w:rsidRPr="008635E0">
        <w:rPr>
          <w:rFonts w:eastAsia="Calibri"/>
          <w:sz w:val="24"/>
          <w:lang w:val="kk-KZ" w:eastAsia="en-US"/>
        </w:rPr>
        <w:t>4</w:t>
      </w:r>
      <w:r w:rsidRPr="008635E0">
        <w:rPr>
          <w:rFonts w:eastAsia="Calibri"/>
          <w:sz w:val="24"/>
          <w:lang w:val="kk-KZ" w:eastAsia="en-US"/>
        </w:rPr>
        <w:t>% орындалды, неме</w:t>
      </w:r>
      <w:r w:rsidR="0092524C">
        <w:rPr>
          <w:rFonts w:eastAsia="Calibri"/>
          <w:sz w:val="24"/>
          <w:lang w:val="kk-KZ" w:eastAsia="en-US"/>
        </w:rPr>
        <w:t>с</w:t>
      </w:r>
      <w:r w:rsidRPr="008635E0">
        <w:rPr>
          <w:rFonts w:eastAsia="Calibri"/>
          <w:sz w:val="24"/>
          <w:lang w:val="kk-KZ" w:eastAsia="en-US"/>
        </w:rPr>
        <w:t>е болжам көрсеткіш</w:t>
      </w:r>
      <w:r w:rsidR="0092524C">
        <w:rPr>
          <w:rFonts w:eastAsia="Calibri"/>
          <w:sz w:val="24"/>
          <w:lang w:val="kk-KZ" w:eastAsia="en-US"/>
        </w:rPr>
        <w:t>і</w:t>
      </w:r>
      <w:r w:rsidRPr="008635E0">
        <w:rPr>
          <w:rFonts w:eastAsia="Calibri"/>
          <w:sz w:val="24"/>
          <w:lang w:val="kk-KZ" w:eastAsia="en-US"/>
        </w:rPr>
        <w:t xml:space="preserve">нен </w:t>
      </w:r>
      <w:r w:rsidR="005E699A" w:rsidRPr="008635E0">
        <w:rPr>
          <w:rFonts w:eastAsia="Calibri"/>
          <w:sz w:val="24"/>
          <w:lang w:val="kk-KZ" w:eastAsia="en-US"/>
        </w:rPr>
        <w:t>2</w:t>
      </w:r>
      <w:r w:rsidR="00043880" w:rsidRPr="008635E0">
        <w:rPr>
          <w:rFonts w:eastAsia="Calibri"/>
          <w:sz w:val="24"/>
          <w:lang w:val="kk-KZ" w:eastAsia="en-US"/>
        </w:rPr>
        <w:t>2</w:t>
      </w:r>
      <w:r w:rsidR="005E699A" w:rsidRPr="008635E0">
        <w:rPr>
          <w:rFonts w:eastAsia="Calibri"/>
          <w:sz w:val="24"/>
          <w:lang w:val="kk-KZ" w:eastAsia="en-US"/>
        </w:rPr>
        <w:t xml:space="preserve"> 322</w:t>
      </w:r>
      <w:r w:rsidR="00043880" w:rsidRPr="008635E0">
        <w:rPr>
          <w:rFonts w:eastAsia="Calibri"/>
          <w:sz w:val="24"/>
          <w:lang w:val="kk-KZ" w:eastAsia="en-US"/>
        </w:rPr>
        <w:t>,</w:t>
      </w:r>
      <w:r w:rsidR="005E699A" w:rsidRPr="008635E0">
        <w:rPr>
          <w:rFonts w:eastAsia="Calibri"/>
          <w:sz w:val="24"/>
          <w:lang w:val="kk-KZ" w:eastAsia="en-US"/>
        </w:rPr>
        <w:t>6</w:t>
      </w:r>
      <w:r w:rsidRPr="008635E0">
        <w:rPr>
          <w:rFonts w:eastAsia="Calibri"/>
          <w:sz w:val="24"/>
          <w:lang w:val="kk-KZ" w:eastAsia="en-US"/>
        </w:rPr>
        <w:t xml:space="preserve"> мл</w:t>
      </w:r>
      <w:r w:rsidR="00043880" w:rsidRPr="008635E0">
        <w:rPr>
          <w:rFonts w:eastAsia="Calibri"/>
          <w:sz w:val="24"/>
          <w:lang w:val="kk-KZ" w:eastAsia="en-US"/>
        </w:rPr>
        <w:t>н</w:t>
      </w:r>
      <w:r w:rsidRPr="008635E0">
        <w:rPr>
          <w:rFonts w:eastAsia="Calibri"/>
          <w:sz w:val="24"/>
          <w:lang w:val="kk-KZ" w:eastAsia="en-US"/>
        </w:rPr>
        <w:t>.теңге артық түсті.</w:t>
      </w:r>
    </w:p>
    <w:p w:rsidR="00876615" w:rsidRPr="008635E0" w:rsidRDefault="00876615" w:rsidP="00876615">
      <w:pPr>
        <w:pStyle w:val="aa"/>
        <w:rPr>
          <w:rFonts w:ascii="Arial" w:eastAsia="Calibri" w:hAnsi="Arial" w:cs="Arial"/>
          <w:sz w:val="24"/>
          <w:lang w:val="kk-KZ" w:eastAsia="en-US"/>
        </w:rPr>
      </w:pPr>
    </w:p>
    <w:p w:rsidR="00876615" w:rsidRPr="00472242" w:rsidRDefault="00B03FBC" w:rsidP="00876615">
      <w:pPr>
        <w:pStyle w:val="aa"/>
        <w:rPr>
          <w:rFonts w:ascii="Arial" w:eastAsia="Calibri" w:hAnsi="Arial" w:cs="Arial"/>
          <w:sz w:val="22"/>
          <w:szCs w:val="22"/>
          <w:lang w:val="kk-KZ" w:eastAsia="en-US"/>
        </w:rPr>
      </w:pPr>
      <w:r w:rsidRPr="00B03FBC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124450" cy="269557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6615" w:rsidRPr="00DA3312" w:rsidRDefault="00876615" w:rsidP="00876615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</w:p>
    <w:p w:rsidR="00F46753" w:rsidRPr="008635E0" w:rsidRDefault="00876615" w:rsidP="00F46753">
      <w:pPr>
        <w:pStyle w:val="aa"/>
        <w:rPr>
          <w:rFonts w:eastAsia="Calibri"/>
          <w:sz w:val="24"/>
          <w:lang w:val="kk-KZ" w:eastAsia="en-US"/>
        </w:rPr>
      </w:pPr>
      <w:r w:rsidRPr="008635E0">
        <w:rPr>
          <w:rFonts w:eastAsia="Calibri"/>
          <w:sz w:val="24"/>
          <w:lang w:val="kk-KZ" w:eastAsia="en-US"/>
        </w:rPr>
        <w:t xml:space="preserve">Болжам көрсеткіштерін орындау, қосымша резервтерді анықтау максатында салық, кедендік және басқа да міндетті төлемдерді бюджетке толық түсуіне әкімшелендіру шаралары жасалды, соның нәтижесіңде қосымша  </w:t>
      </w:r>
      <w:r w:rsidR="005E699A" w:rsidRPr="008635E0">
        <w:rPr>
          <w:rFonts w:eastAsia="Calibri"/>
          <w:b/>
          <w:sz w:val="24"/>
          <w:lang w:val="kk-KZ" w:eastAsia="en-US"/>
        </w:rPr>
        <w:t>2 456,1</w:t>
      </w:r>
      <w:r w:rsidRPr="008635E0">
        <w:rPr>
          <w:rFonts w:eastAsia="Calibri"/>
          <w:b/>
          <w:sz w:val="24"/>
          <w:lang w:val="kk-KZ" w:eastAsia="en-US"/>
        </w:rPr>
        <w:t xml:space="preserve"> мл</w:t>
      </w:r>
      <w:r w:rsidR="00043880" w:rsidRPr="008635E0">
        <w:rPr>
          <w:rFonts w:eastAsia="Calibri"/>
          <w:b/>
          <w:sz w:val="24"/>
          <w:lang w:val="kk-KZ" w:eastAsia="en-US"/>
        </w:rPr>
        <w:t>н</w:t>
      </w:r>
      <w:r w:rsidRPr="008635E0">
        <w:rPr>
          <w:rFonts w:eastAsia="Calibri"/>
          <w:b/>
          <w:sz w:val="24"/>
          <w:lang w:val="kk-KZ" w:eastAsia="en-US"/>
        </w:rPr>
        <w:t>.теңге</w:t>
      </w:r>
      <w:r w:rsidRPr="008635E0">
        <w:rPr>
          <w:rFonts w:eastAsia="Calibri"/>
          <w:sz w:val="24"/>
          <w:lang w:val="kk-KZ" w:eastAsia="en-US"/>
        </w:rPr>
        <w:t xml:space="preserve"> түсім қамтамасыз етілді.</w:t>
      </w:r>
    </w:p>
    <w:p w:rsidR="00F46753" w:rsidRPr="008635E0" w:rsidRDefault="00F46753" w:rsidP="00F46753">
      <w:pPr>
        <w:pStyle w:val="aa"/>
        <w:rPr>
          <w:rFonts w:eastAsia="Calibri"/>
          <w:sz w:val="24"/>
          <w:lang w:val="kk-KZ" w:eastAsia="en-US"/>
        </w:rPr>
      </w:pPr>
      <w:r w:rsidRPr="008635E0">
        <w:rPr>
          <w:rFonts w:eastAsia="Calibri"/>
          <w:sz w:val="24"/>
          <w:lang w:val="kk-KZ"/>
        </w:rPr>
        <w:t>С</w:t>
      </w:r>
      <w:r w:rsidR="00350E9B" w:rsidRPr="008635E0">
        <w:rPr>
          <w:rFonts w:eastAsia="Calibri"/>
          <w:sz w:val="24"/>
          <w:lang w:val="kk-KZ"/>
        </w:rPr>
        <w:t>алық салынатын базасы</w:t>
      </w:r>
      <w:r w:rsidR="00CE75E3" w:rsidRPr="008635E0">
        <w:rPr>
          <w:rFonts w:eastAsia="Calibri"/>
          <w:sz w:val="24"/>
          <w:lang w:val="kk-KZ"/>
        </w:rPr>
        <w:t>н</w:t>
      </w:r>
      <w:r w:rsidR="00350E9B" w:rsidRPr="008635E0">
        <w:rPr>
          <w:rFonts w:eastAsia="Calibri"/>
          <w:sz w:val="24"/>
          <w:lang w:val="kk-KZ"/>
        </w:rPr>
        <w:t xml:space="preserve"> кеңейту шаралар жоспары бойынша бюджетке қосымша </w:t>
      </w:r>
      <w:r w:rsidR="005E699A" w:rsidRPr="008635E0">
        <w:rPr>
          <w:rFonts w:eastAsia="Calibri"/>
          <w:b/>
          <w:sz w:val="24"/>
          <w:lang w:val="kk-KZ"/>
        </w:rPr>
        <w:t>1 423,9</w:t>
      </w:r>
      <w:r w:rsidR="00350E9B" w:rsidRPr="008635E0">
        <w:rPr>
          <w:rFonts w:eastAsia="Calibri"/>
          <w:b/>
          <w:sz w:val="24"/>
          <w:lang w:val="kk-KZ"/>
        </w:rPr>
        <w:t xml:space="preserve"> млн.теңге</w:t>
      </w:r>
      <w:r w:rsidR="00350E9B" w:rsidRPr="008635E0">
        <w:rPr>
          <w:rFonts w:eastAsia="Calibri"/>
          <w:sz w:val="24"/>
          <w:lang w:val="kk-KZ"/>
        </w:rPr>
        <w:t xml:space="preserve"> түсім қамтамасыз етілді, соның ішінде комиссия</w:t>
      </w:r>
      <w:r w:rsidR="00CE75E3" w:rsidRPr="008635E0">
        <w:rPr>
          <w:rFonts w:eastAsia="Calibri"/>
          <w:sz w:val="24"/>
          <w:lang w:val="kk-KZ"/>
        </w:rPr>
        <w:t>ның қатысуымен</w:t>
      </w:r>
      <w:r w:rsidR="00350E9B" w:rsidRPr="008635E0">
        <w:rPr>
          <w:rFonts w:eastAsia="Calibri"/>
          <w:sz w:val="24"/>
          <w:lang w:val="kk-KZ"/>
        </w:rPr>
        <w:t xml:space="preserve"> </w:t>
      </w:r>
      <w:r w:rsidR="005E699A" w:rsidRPr="008635E0">
        <w:rPr>
          <w:rFonts w:eastAsia="Calibri"/>
          <w:sz w:val="24"/>
          <w:lang w:val="kk-KZ"/>
        </w:rPr>
        <w:t>330</w:t>
      </w:r>
      <w:r w:rsidR="00350E9B" w:rsidRPr="008635E0">
        <w:rPr>
          <w:rFonts w:eastAsia="Calibri"/>
          <w:sz w:val="24"/>
          <w:lang w:val="kk-KZ"/>
        </w:rPr>
        <w:t>,</w:t>
      </w:r>
      <w:r w:rsidR="005E699A" w:rsidRPr="008635E0">
        <w:rPr>
          <w:rFonts w:eastAsia="Calibri"/>
          <w:sz w:val="24"/>
          <w:lang w:val="kk-KZ"/>
        </w:rPr>
        <w:t>8</w:t>
      </w:r>
      <w:r w:rsidR="00350E9B" w:rsidRPr="008635E0">
        <w:rPr>
          <w:rFonts w:eastAsia="Calibri"/>
          <w:sz w:val="24"/>
          <w:lang w:val="kk-KZ"/>
        </w:rPr>
        <w:t xml:space="preserve"> млн.теңге және дербес шаралар өткізу бойынша </w:t>
      </w:r>
      <w:r w:rsidRPr="008635E0">
        <w:rPr>
          <w:rFonts w:eastAsia="Calibri"/>
          <w:sz w:val="24"/>
          <w:lang w:val="kk-KZ"/>
        </w:rPr>
        <w:t>1092</w:t>
      </w:r>
      <w:r w:rsidR="00350E9B" w:rsidRPr="008635E0">
        <w:rPr>
          <w:rFonts w:eastAsia="Calibri"/>
          <w:sz w:val="24"/>
          <w:lang w:val="kk-KZ"/>
        </w:rPr>
        <w:t>,</w:t>
      </w:r>
      <w:r w:rsidRPr="008635E0">
        <w:rPr>
          <w:rFonts w:eastAsia="Calibri"/>
          <w:sz w:val="24"/>
          <w:lang w:val="kk-KZ"/>
        </w:rPr>
        <w:t>9</w:t>
      </w:r>
      <w:r w:rsidR="00350E9B" w:rsidRPr="008635E0">
        <w:rPr>
          <w:rFonts w:eastAsia="Calibri"/>
          <w:sz w:val="24"/>
          <w:lang w:val="kk-KZ"/>
        </w:rPr>
        <w:t xml:space="preserve"> млн.теңге.</w:t>
      </w:r>
    </w:p>
    <w:p w:rsidR="00D808F0" w:rsidRPr="008635E0" w:rsidRDefault="00F46753" w:rsidP="00F46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B11482"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>ауарларды</w:t>
      </w:r>
      <w:r w:rsidR="0092524C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="00B11482"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импорты</w:t>
      </w:r>
      <w:r w:rsidR="0092524C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="00B11482"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кеден құны және кодтардың сәйкестігін сыртқы экономикалық қызметтің тауар номенклатурасы бойынша бақылау </w:t>
      </w:r>
      <w:r w:rsidR="0092524C">
        <w:rPr>
          <w:rFonts w:ascii="Times New Roman" w:eastAsia="Calibri" w:hAnsi="Times New Roman" w:cs="Times New Roman"/>
          <w:sz w:val="24"/>
          <w:szCs w:val="24"/>
          <w:lang w:val="kk-KZ"/>
        </w:rPr>
        <w:t>мақсатында</w:t>
      </w:r>
      <w:r w:rsidR="00B11482"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7</w:t>
      </w:r>
      <w:r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>52</w:t>
      </w:r>
      <w:r w:rsidR="00B11482"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кеден құны түзет</w:t>
      </w:r>
      <w:r w:rsidR="0092524C">
        <w:rPr>
          <w:rFonts w:ascii="Times New Roman" w:eastAsia="Calibri" w:hAnsi="Times New Roman" w:cs="Times New Roman"/>
          <w:sz w:val="24"/>
          <w:szCs w:val="24"/>
          <w:lang w:val="kk-KZ"/>
        </w:rPr>
        <w:t>ілді</w:t>
      </w:r>
      <w:r w:rsidR="00B11482"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Соның нәтежесінде бюджетке қосымша </w:t>
      </w:r>
      <w:r w:rsidR="00B11482" w:rsidRPr="008635E0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8635E0">
        <w:rPr>
          <w:rFonts w:ascii="Times New Roman" w:eastAsia="Calibri" w:hAnsi="Times New Roman" w:cs="Times New Roman"/>
          <w:b/>
          <w:sz w:val="24"/>
          <w:szCs w:val="24"/>
          <w:lang w:val="kk-KZ"/>
        </w:rPr>
        <w:t>67</w:t>
      </w:r>
      <w:r w:rsidR="00B11482" w:rsidRPr="008635E0">
        <w:rPr>
          <w:rFonts w:ascii="Times New Roman" w:eastAsia="Calibri" w:hAnsi="Times New Roman" w:cs="Times New Roman"/>
          <w:b/>
          <w:sz w:val="24"/>
          <w:szCs w:val="24"/>
          <w:lang w:val="kk-KZ"/>
        </w:rPr>
        <w:t>,</w:t>
      </w:r>
      <w:r w:rsidRPr="008635E0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B11482" w:rsidRPr="008635E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млн.теңге</w:t>
      </w:r>
      <w:r w:rsidR="00B11482"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түсім түсті.</w:t>
      </w:r>
    </w:p>
    <w:p w:rsidR="00D808F0" w:rsidRPr="008635E0" w:rsidRDefault="00D808F0" w:rsidP="00F4675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val="kk-KZ" w:eastAsia="en-US"/>
        </w:rPr>
      </w:pPr>
      <w:r w:rsidRPr="008635E0">
        <w:rPr>
          <w:rFonts w:eastAsia="Calibri"/>
          <w:lang w:val="kk-KZ" w:eastAsia="en-US"/>
        </w:rPr>
        <w:t xml:space="preserve">ЕАЭО мүше елдердің аумақтарынан импортталған тауарларға төленетін қосымша құн салығы жүргізілген жұмыстардың нәтижесінде 2015 жылдың осы кезеңімен салыстырғанда </w:t>
      </w:r>
      <w:r w:rsidR="00D81D2C" w:rsidRPr="008635E0">
        <w:rPr>
          <w:rFonts w:eastAsia="Calibri"/>
          <w:lang w:val="kk-KZ" w:eastAsia="en-US"/>
        </w:rPr>
        <w:t>1 823,5</w:t>
      </w:r>
      <w:r w:rsidRPr="008635E0">
        <w:rPr>
          <w:rFonts w:eastAsia="Calibri"/>
          <w:lang w:val="kk-KZ" w:eastAsia="en-US"/>
        </w:rPr>
        <w:t xml:space="preserve"> млн.тенгеге артық түсті.</w:t>
      </w:r>
    </w:p>
    <w:p w:rsidR="00D808F0" w:rsidRPr="008635E0" w:rsidRDefault="00D808F0" w:rsidP="00F4675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val="kk-KZ" w:eastAsia="en-US"/>
        </w:rPr>
      </w:pPr>
      <w:r w:rsidRPr="008635E0">
        <w:rPr>
          <w:rFonts w:eastAsia="Calibri"/>
          <w:lang w:val="kk-KZ" w:eastAsia="en-US"/>
        </w:rPr>
        <w:t xml:space="preserve">Биыл жыл басынан бері </w:t>
      </w:r>
      <w:r w:rsidR="0023228D" w:rsidRPr="008635E0">
        <w:rPr>
          <w:rFonts w:eastAsia="Calibri"/>
          <w:lang w:val="kk-KZ" w:eastAsia="en-US"/>
        </w:rPr>
        <w:t>2014</w:t>
      </w:r>
      <w:r w:rsidRPr="008635E0">
        <w:rPr>
          <w:rFonts w:eastAsia="Calibri"/>
          <w:lang w:val="kk-KZ" w:eastAsia="en-US"/>
        </w:rPr>
        <w:t xml:space="preserve"> салық төлеушіден </w:t>
      </w:r>
      <w:r w:rsidR="0023228D" w:rsidRPr="008635E0">
        <w:rPr>
          <w:rFonts w:eastAsia="Calibri"/>
          <w:lang w:val="kk-KZ" w:eastAsia="en-US"/>
        </w:rPr>
        <w:t>11 923</w:t>
      </w:r>
      <w:r w:rsidRPr="008635E0">
        <w:rPr>
          <w:rFonts w:eastAsia="Calibri"/>
          <w:lang w:val="kk-KZ" w:eastAsia="en-US"/>
        </w:rPr>
        <w:t xml:space="preserve"> декларация және тауарларды әкелу туралы, жанама салықтарды төлеу жөнінде </w:t>
      </w:r>
      <w:r w:rsidR="0023228D" w:rsidRPr="008635E0">
        <w:rPr>
          <w:rFonts w:eastAsia="Calibri"/>
          <w:lang w:val="kk-KZ" w:eastAsia="en-US"/>
        </w:rPr>
        <w:t>12</w:t>
      </w:r>
      <w:r w:rsidR="008635E0" w:rsidRPr="008635E0">
        <w:rPr>
          <w:rFonts w:eastAsia="Calibri"/>
          <w:lang w:val="kk-KZ" w:eastAsia="en-US"/>
        </w:rPr>
        <w:t xml:space="preserve"> </w:t>
      </w:r>
      <w:r w:rsidR="0023228D" w:rsidRPr="008635E0">
        <w:rPr>
          <w:rFonts w:eastAsia="Calibri"/>
          <w:lang w:val="kk-KZ" w:eastAsia="en-US"/>
        </w:rPr>
        <w:t>767</w:t>
      </w:r>
      <w:r w:rsidRPr="008635E0">
        <w:rPr>
          <w:rFonts w:eastAsia="Calibri"/>
          <w:lang w:val="kk-KZ" w:eastAsia="en-US"/>
        </w:rPr>
        <w:t xml:space="preserve"> өтініш түсті. </w:t>
      </w:r>
      <w:r w:rsidR="008635E0" w:rsidRPr="008635E0">
        <w:rPr>
          <w:rFonts w:eastAsia="Calibri"/>
          <w:lang w:val="kk-KZ" w:eastAsia="en-US"/>
        </w:rPr>
        <w:t>Т</w:t>
      </w:r>
      <w:r w:rsidRPr="008635E0">
        <w:rPr>
          <w:rFonts w:eastAsia="Calibri"/>
          <w:lang w:val="kk-KZ" w:eastAsia="en-US"/>
        </w:rPr>
        <w:t xml:space="preserve">ауарларды импорттаушы </w:t>
      </w:r>
      <w:r w:rsidR="009821D8" w:rsidRPr="008635E0">
        <w:rPr>
          <w:rFonts w:eastAsia="Calibri"/>
          <w:lang w:val="kk-KZ" w:eastAsia="en-US"/>
        </w:rPr>
        <w:t>257</w:t>
      </w:r>
      <w:r w:rsidRPr="008635E0">
        <w:rPr>
          <w:rFonts w:eastAsia="Calibri"/>
          <w:lang w:val="kk-KZ" w:eastAsia="en-US"/>
        </w:rPr>
        <w:t xml:space="preserve"> салық төлеушіден 6</w:t>
      </w:r>
      <w:r w:rsidR="009821D8" w:rsidRPr="008635E0">
        <w:rPr>
          <w:rFonts w:eastAsia="Calibri"/>
          <w:lang w:val="kk-KZ" w:eastAsia="en-US"/>
        </w:rPr>
        <w:t>44</w:t>
      </w:r>
      <w:r w:rsidRPr="008635E0">
        <w:rPr>
          <w:rFonts w:eastAsia="Calibri"/>
          <w:lang w:val="kk-KZ" w:eastAsia="en-US"/>
        </w:rPr>
        <w:t>,1 млн.теңге түсті</w:t>
      </w:r>
      <w:r w:rsidR="008635E0" w:rsidRPr="008635E0">
        <w:rPr>
          <w:rFonts w:eastAsia="Calibri"/>
          <w:lang w:val="kk-KZ" w:eastAsia="en-US"/>
        </w:rPr>
        <w:t>, а</w:t>
      </w:r>
      <w:r w:rsidRPr="008635E0">
        <w:rPr>
          <w:rFonts w:eastAsia="Calibri"/>
          <w:lang w:val="kk-KZ" w:eastAsia="en-US"/>
        </w:rPr>
        <w:t>л өткен жылдың осы кезеңінде бұл салық төлеушілер Кеден одағы елдерінен (ЕАЭО) импорттаған тауарлары үшін салық төлемеген болатын</w:t>
      </w:r>
      <w:bookmarkStart w:id="0" w:name="_GoBack"/>
      <w:bookmarkEnd w:id="0"/>
      <w:r w:rsidRPr="008635E0">
        <w:rPr>
          <w:rFonts w:eastAsia="Calibri"/>
          <w:lang w:val="kk-KZ" w:eastAsia="en-US"/>
        </w:rPr>
        <w:t xml:space="preserve">. </w:t>
      </w:r>
      <w:r w:rsidRPr="008635E0">
        <w:rPr>
          <w:rFonts w:eastAsia="Calibri"/>
          <w:lang w:val="kk-KZ" w:eastAsia="en-US"/>
        </w:rPr>
        <w:tab/>
      </w:r>
    </w:p>
    <w:p w:rsidR="00D81D2C" w:rsidRDefault="00E557E4" w:rsidP="00F4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635E0">
        <w:rPr>
          <w:rFonts w:ascii="Times New Roman" w:eastAsia="Calibri" w:hAnsi="Times New Roman" w:cs="Times New Roman"/>
          <w:sz w:val="24"/>
          <w:szCs w:val="24"/>
          <w:lang w:val="kk-KZ"/>
        </w:rPr>
        <w:t>Ақтөбе облысы бойынша мемлекеттік кірістер департаменті болжам көрсеткіштерін орындау мақсатында қосымша түсімдерді бюджетке қамтамасыз ету үшін салық және кедендік төлемдерді әкімшелендіру жағынан күшейту жұмыстарын жүргізіп жатыр.</w:t>
      </w:r>
    </w:p>
    <w:p w:rsidR="008635E0" w:rsidRDefault="00D808F0" w:rsidP="00D808F0">
      <w:pPr>
        <w:pStyle w:val="aa"/>
        <w:tabs>
          <w:tab w:val="left" w:pos="5715"/>
        </w:tabs>
        <w:rPr>
          <w:rFonts w:eastAsia="Calibri"/>
          <w:szCs w:val="28"/>
          <w:lang w:val="kk-KZ" w:eastAsia="en-US"/>
        </w:rPr>
      </w:pPr>
      <w:r>
        <w:rPr>
          <w:rFonts w:eastAsia="Calibri"/>
          <w:szCs w:val="28"/>
          <w:lang w:val="kk-KZ" w:eastAsia="en-US"/>
        </w:rPr>
        <w:tab/>
      </w:r>
      <w:r w:rsidR="008635E0">
        <w:rPr>
          <w:rFonts w:eastAsia="Calibri"/>
          <w:szCs w:val="28"/>
          <w:lang w:val="kk-KZ" w:eastAsia="en-US"/>
        </w:rPr>
        <w:t xml:space="preserve">     </w:t>
      </w:r>
    </w:p>
    <w:p w:rsidR="008635E0" w:rsidRDefault="008635E0" w:rsidP="008635E0">
      <w:pPr>
        <w:pStyle w:val="aa"/>
        <w:tabs>
          <w:tab w:val="left" w:pos="5715"/>
        </w:tabs>
        <w:rPr>
          <w:b/>
          <w:i/>
          <w:sz w:val="26"/>
          <w:szCs w:val="26"/>
          <w:lang w:val="kk-KZ"/>
        </w:rPr>
      </w:pPr>
      <w:r>
        <w:rPr>
          <w:rFonts w:eastAsia="Calibri"/>
          <w:szCs w:val="28"/>
          <w:lang w:val="kk-KZ" w:eastAsia="en-US"/>
        </w:rPr>
        <w:t xml:space="preserve">                                   </w:t>
      </w:r>
      <w:r w:rsidR="00F46753">
        <w:rPr>
          <w:rFonts w:eastAsia="Calibri"/>
          <w:szCs w:val="28"/>
          <w:lang w:val="kk-KZ" w:eastAsia="en-US"/>
        </w:rPr>
        <w:t xml:space="preserve"> </w:t>
      </w:r>
      <w:r w:rsidR="00876615" w:rsidRPr="003A5BC1">
        <w:rPr>
          <w:b/>
          <w:i/>
          <w:sz w:val="26"/>
          <w:szCs w:val="26"/>
          <w:lang w:val="kk-KZ"/>
        </w:rPr>
        <w:t>Ақтөбе облысы бойыншаМ</w:t>
      </w:r>
      <w:r w:rsidR="00876615">
        <w:rPr>
          <w:b/>
          <w:i/>
          <w:sz w:val="26"/>
          <w:szCs w:val="26"/>
          <w:lang w:val="kk-KZ"/>
        </w:rPr>
        <w:t xml:space="preserve">емлекеттік </w:t>
      </w:r>
      <w:r w:rsidR="00876615" w:rsidRPr="003A5BC1">
        <w:rPr>
          <w:b/>
          <w:i/>
          <w:sz w:val="26"/>
          <w:szCs w:val="26"/>
          <w:lang w:val="kk-KZ"/>
        </w:rPr>
        <w:t>К</w:t>
      </w:r>
      <w:r w:rsidR="00876615">
        <w:rPr>
          <w:b/>
          <w:i/>
          <w:sz w:val="26"/>
          <w:szCs w:val="26"/>
          <w:lang w:val="kk-KZ"/>
        </w:rPr>
        <w:t xml:space="preserve">ірістер </w:t>
      </w:r>
    </w:p>
    <w:p w:rsidR="000300D5" w:rsidRPr="00876615" w:rsidRDefault="008635E0" w:rsidP="008635E0">
      <w:pPr>
        <w:pStyle w:val="aa"/>
        <w:tabs>
          <w:tab w:val="left" w:pos="5715"/>
        </w:tabs>
        <w:rPr>
          <w:b/>
          <w:i/>
          <w:color w:val="000000"/>
          <w:sz w:val="23"/>
          <w:szCs w:val="23"/>
          <w:lang w:val="kk-KZ"/>
        </w:rPr>
      </w:pPr>
      <w:r>
        <w:rPr>
          <w:b/>
          <w:i/>
          <w:sz w:val="26"/>
          <w:szCs w:val="26"/>
          <w:lang w:val="kk-KZ"/>
        </w:rPr>
        <w:t xml:space="preserve">                                 </w:t>
      </w:r>
      <w:r w:rsidR="00876615" w:rsidRPr="003A5BC1">
        <w:rPr>
          <w:b/>
          <w:i/>
          <w:sz w:val="26"/>
          <w:szCs w:val="26"/>
          <w:lang w:val="kk-KZ"/>
        </w:rPr>
        <w:t>Д</w:t>
      </w:r>
      <w:r w:rsidR="00876615">
        <w:rPr>
          <w:b/>
          <w:i/>
          <w:sz w:val="26"/>
          <w:szCs w:val="26"/>
          <w:lang w:val="kk-KZ"/>
        </w:rPr>
        <w:t>епартаментінің</w:t>
      </w:r>
      <w:r>
        <w:rPr>
          <w:b/>
          <w:i/>
          <w:sz w:val="26"/>
          <w:szCs w:val="26"/>
          <w:lang w:val="kk-KZ"/>
        </w:rPr>
        <w:t xml:space="preserve"> </w:t>
      </w:r>
      <w:r w:rsidR="00876615" w:rsidRPr="003A5BC1">
        <w:rPr>
          <w:b/>
          <w:i/>
          <w:sz w:val="26"/>
          <w:szCs w:val="26"/>
          <w:lang w:val="kk-KZ"/>
        </w:rPr>
        <w:t xml:space="preserve">Талдау және тәуекелдер басқармасы </w:t>
      </w:r>
    </w:p>
    <w:sectPr w:rsidR="000300D5" w:rsidRPr="00876615" w:rsidSect="000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98"/>
    <w:multiLevelType w:val="hybridMultilevel"/>
    <w:tmpl w:val="D322528E"/>
    <w:lvl w:ilvl="0" w:tplc="B1EC17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2DC5A64"/>
    <w:multiLevelType w:val="hybridMultilevel"/>
    <w:tmpl w:val="AF7C9CD2"/>
    <w:lvl w:ilvl="0" w:tplc="621A0D8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4EE"/>
    <w:multiLevelType w:val="hybridMultilevel"/>
    <w:tmpl w:val="82D0F4AC"/>
    <w:lvl w:ilvl="0" w:tplc="C0F893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0952100"/>
    <w:multiLevelType w:val="hybridMultilevel"/>
    <w:tmpl w:val="92F07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880747"/>
    <w:multiLevelType w:val="hybridMultilevel"/>
    <w:tmpl w:val="D5082946"/>
    <w:lvl w:ilvl="0" w:tplc="CA22F7C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AB56440"/>
    <w:multiLevelType w:val="hybridMultilevel"/>
    <w:tmpl w:val="FB22EA96"/>
    <w:lvl w:ilvl="0" w:tplc="1C5072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8B78BC"/>
    <w:multiLevelType w:val="hybridMultilevel"/>
    <w:tmpl w:val="93C0D8BE"/>
    <w:lvl w:ilvl="0" w:tplc="3D3806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A65C4A"/>
    <w:multiLevelType w:val="hybridMultilevel"/>
    <w:tmpl w:val="6C3CD0E4"/>
    <w:lvl w:ilvl="0" w:tplc="3B8CC8E4">
      <w:start w:val="201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9741CD"/>
    <w:multiLevelType w:val="hybridMultilevel"/>
    <w:tmpl w:val="31CE1028"/>
    <w:lvl w:ilvl="0" w:tplc="879845E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6B8A"/>
    <w:rsid w:val="00004AD9"/>
    <w:rsid w:val="00026B8A"/>
    <w:rsid w:val="000300D5"/>
    <w:rsid w:val="00043880"/>
    <w:rsid w:val="0007037E"/>
    <w:rsid w:val="000879B5"/>
    <w:rsid w:val="0009391B"/>
    <w:rsid w:val="00097337"/>
    <w:rsid w:val="000B0832"/>
    <w:rsid w:val="000C5C2E"/>
    <w:rsid w:val="0010112F"/>
    <w:rsid w:val="00147A0E"/>
    <w:rsid w:val="001563E3"/>
    <w:rsid w:val="00156FE4"/>
    <w:rsid w:val="00165BD9"/>
    <w:rsid w:val="001B426E"/>
    <w:rsid w:val="001D76D9"/>
    <w:rsid w:val="001E36F2"/>
    <w:rsid w:val="001F58D9"/>
    <w:rsid w:val="00211D66"/>
    <w:rsid w:val="00221751"/>
    <w:rsid w:val="0023228D"/>
    <w:rsid w:val="0025142B"/>
    <w:rsid w:val="0027207D"/>
    <w:rsid w:val="00275B05"/>
    <w:rsid w:val="002E0CEF"/>
    <w:rsid w:val="003019EF"/>
    <w:rsid w:val="00314E3A"/>
    <w:rsid w:val="003175D8"/>
    <w:rsid w:val="0032625D"/>
    <w:rsid w:val="00332A08"/>
    <w:rsid w:val="00350E9B"/>
    <w:rsid w:val="00377347"/>
    <w:rsid w:val="00391B40"/>
    <w:rsid w:val="003A5BC1"/>
    <w:rsid w:val="003C5C68"/>
    <w:rsid w:val="003D1DBB"/>
    <w:rsid w:val="003D61F7"/>
    <w:rsid w:val="003E0C36"/>
    <w:rsid w:val="003E389A"/>
    <w:rsid w:val="003F54BD"/>
    <w:rsid w:val="00430237"/>
    <w:rsid w:val="004319B7"/>
    <w:rsid w:val="004637DE"/>
    <w:rsid w:val="00495811"/>
    <w:rsid w:val="004C71A6"/>
    <w:rsid w:val="004D6735"/>
    <w:rsid w:val="00512C67"/>
    <w:rsid w:val="00515C03"/>
    <w:rsid w:val="005307BC"/>
    <w:rsid w:val="00532BF1"/>
    <w:rsid w:val="00540DEF"/>
    <w:rsid w:val="0057301F"/>
    <w:rsid w:val="0057429A"/>
    <w:rsid w:val="00577A2F"/>
    <w:rsid w:val="00585D00"/>
    <w:rsid w:val="00587D04"/>
    <w:rsid w:val="00590997"/>
    <w:rsid w:val="005A130E"/>
    <w:rsid w:val="005B287C"/>
    <w:rsid w:val="005B50C3"/>
    <w:rsid w:val="005C0962"/>
    <w:rsid w:val="005C786D"/>
    <w:rsid w:val="005D6374"/>
    <w:rsid w:val="005E06FF"/>
    <w:rsid w:val="005E699A"/>
    <w:rsid w:val="005F1064"/>
    <w:rsid w:val="005F202A"/>
    <w:rsid w:val="00613D5D"/>
    <w:rsid w:val="00666C36"/>
    <w:rsid w:val="00691931"/>
    <w:rsid w:val="0069345C"/>
    <w:rsid w:val="0069780D"/>
    <w:rsid w:val="006A2896"/>
    <w:rsid w:val="006A35B2"/>
    <w:rsid w:val="006B0698"/>
    <w:rsid w:val="006E67E0"/>
    <w:rsid w:val="006F11FA"/>
    <w:rsid w:val="007012DE"/>
    <w:rsid w:val="00706F0B"/>
    <w:rsid w:val="0075643A"/>
    <w:rsid w:val="00785F2C"/>
    <w:rsid w:val="00796FB0"/>
    <w:rsid w:val="007B3610"/>
    <w:rsid w:val="007C0BBE"/>
    <w:rsid w:val="007C2AF1"/>
    <w:rsid w:val="00827BDA"/>
    <w:rsid w:val="00836F30"/>
    <w:rsid w:val="00847BCF"/>
    <w:rsid w:val="00853EB2"/>
    <w:rsid w:val="00861C0F"/>
    <w:rsid w:val="008635E0"/>
    <w:rsid w:val="00876615"/>
    <w:rsid w:val="00882789"/>
    <w:rsid w:val="00887174"/>
    <w:rsid w:val="00892D97"/>
    <w:rsid w:val="00896F8B"/>
    <w:rsid w:val="008C3302"/>
    <w:rsid w:val="008C4934"/>
    <w:rsid w:val="008E6EF0"/>
    <w:rsid w:val="009019BC"/>
    <w:rsid w:val="00903AEC"/>
    <w:rsid w:val="0092524C"/>
    <w:rsid w:val="009402A3"/>
    <w:rsid w:val="009447CE"/>
    <w:rsid w:val="009653C1"/>
    <w:rsid w:val="009821D8"/>
    <w:rsid w:val="00986C3A"/>
    <w:rsid w:val="009B220F"/>
    <w:rsid w:val="009C4B66"/>
    <w:rsid w:val="009C6318"/>
    <w:rsid w:val="009E61A5"/>
    <w:rsid w:val="009F5383"/>
    <w:rsid w:val="00A033B7"/>
    <w:rsid w:val="00A057CD"/>
    <w:rsid w:val="00A068EF"/>
    <w:rsid w:val="00A16396"/>
    <w:rsid w:val="00A16454"/>
    <w:rsid w:val="00A212EC"/>
    <w:rsid w:val="00A30BED"/>
    <w:rsid w:val="00A31179"/>
    <w:rsid w:val="00A32A07"/>
    <w:rsid w:val="00A35902"/>
    <w:rsid w:val="00A631E1"/>
    <w:rsid w:val="00A95FDF"/>
    <w:rsid w:val="00A96074"/>
    <w:rsid w:val="00AA2A4F"/>
    <w:rsid w:val="00AB371D"/>
    <w:rsid w:val="00AC3633"/>
    <w:rsid w:val="00AD48B5"/>
    <w:rsid w:val="00AF2669"/>
    <w:rsid w:val="00B03FBC"/>
    <w:rsid w:val="00B06629"/>
    <w:rsid w:val="00B10AB7"/>
    <w:rsid w:val="00B11482"/>
    <w:rsid w:val="00B13E90"/>
    <w:rsid w:val="00B46814"/>
    <w:rsid w:val="00B54B44"/>
    <w:rsid w:val="00B551ED"/>
    <w:rsid w:val="00B62667"/>
    <w:rsid w:val="00B6513E"/>
    <w:rsid w:val="00B673A1"/>
    <w:rsid w:val="00B67BDB"/>
    <w:rsid w:val="00B72EA6"/>
    <w:rsid w:val="00B80721"/>
    <w:rsid w:val="00B93F72"/>
    <w:rsid w:val="00BA767D"/>
    <w:rsid w:val="00BA7A32"/>
    <w:rsid w:val="00BC2B62"/>
    <w:rsid w:val="00BC5340"/>
    <w:rsid w:val="00BD6DF7"/>
    <w:rsid w:val="00C1501A"/>
    <w:rsid w:val="00C46156"/>
    <w:rsid w:val="00C47161"/>
    <w:rsid w:val="00C54951"/>
    <w:rsid w:val="00C74D4A"/>
    <w:rsid w:val="00C90E5B"/>
    <w:rsid w:val="00CB2186"/>
    <w:rsid w:val="00CE75E3"/>
    <w:rsid w:val="00D06C6C"/>
    <w:rsid w:val="00D14587"/>
    <w:rsid w:val="00D808F0"/>
    <w:rsid w:val="00D81D2C"/>
    <w:rsid w:val="00DB49C3"/>
    <w:rsid w:val="00E167EF"/>
    <w:rsid w:val="00E36D72"/>
    <w:rsid w:val="00E43A5E"/>
    <w:rsid w:val="00E51F52"/>
    <w:rsid w:val="00E557E4"/>
    <w:rsid w:val="00E600F4"/>
    <w:rsid w:val="00E635FC"/>
    <w:rsid w:val="00E7249E"/>
    <w:rsid w:val="00EB1D78"/>
    <w:rsid w:val="00EB1EBA"/>
    <w:rsid w:val="00EE5663"/>
    <w:rsid w:val="00EF0528"/>
    <w:rsid w:val="00F051FB"/>
    <w:rsid w:val="00F113FE"/>
    <w:rsid w:val="00F17763"/>
    <w:rsid w:val="00F24219"/>
    <w:rsid w:val="00F27223"/>
    <w:rsid w:val="00F3120C"/>
    <w:rsid w:val="00F4221A"/>
    <w:rsid w:val="00F46753"/>
    <w:rsid w:val="00F70107"/>
    <w:rsid w:val="00F962DB"/>
    <w:rsid w:val="00FA3316"/>
    <w:rsid w:val="00FB0DA0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33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FA331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link w:val="a5"/>
    <w:uiPriority w:val="34"/>
    <w:qFormat/>
    <w:rsid w:val="000300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бя,мелкий,норма,Без интервала1,мой рабочий,No Spacing,Айгерим,Без интервала11,свой,Без интеБез интервала"/>
    <w:link w:val="a7"/>
    <w:uiPriority w:val="1"/>
    <w:qFormat/>
    <w:rsid w:val="00030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0300D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Обя Знак,мелкий Знак,норма Знак,Без интервала1 Знак,мой рабочий Знак,No Spacing Знак,Айгерим Знак,Без интервала11 Знак,свой Знак,Без интеБез интервала Знак"/>
    <w:link w:val="a6"/>
    <w:uiPriority w:val="1"/>
    <w:locked/>
    <w:rsid w:val="000300D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58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F11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11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justify">
    <w:name w:val="rtejustify"/>
    <w:basedOn w:val="a"/>
    <w:rsid w:val="00F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317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nzhnur\Documents\2016\C&#1052;&#1048;\&#1076;&#1080;&#1072;&#1075;&#1088;&#1072;&#1084;&#108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nzhnur\Documents\2016\C&#1052;&#1048;\&#1076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Исполнение доходной части бюджета за 1 полугодие 2016 г.  (млн.тенге)</a:t>
            </a:r>
          </a:p>
        </c:rich>
      </c:tx>
      <c:layout>
        <c:manualLayout>
          <c:xMode val="edge"/>
          <c:yMode val="edge"/>
          <c:x val="0.16279107329830642"/>
          <c:y val="3.533568904593640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852733717776662"/>
          <c:y val="0.26501812510028788"/>
          <c:w val="0.86046674476657958"/>
          <c:h val="0.44169687516714712"/>
        </c:manualLayout>
      </c:layout>
      <c:barChart>
        <c:barDir val="col"/>
        <c:grouping val="clustered"/>
        <c:ser>
          <c:idx val="0"/>
          <c:order val="0"/>
          <c:tx>
            <c:strRef>
              <c:f>рус!$C$2</c:f>
              <c:strCache>
                <c:ptCount val="1"/>
                <c:pt idx="0">
                  <c:v>план на 01.07.16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8103713031128858E-3"/>
                  <c:y val="-1.133066835069325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8103709111145492E-3"/>
                  <c:y val="-6.66138835607003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9720440269181034E-3"/>
                  <c:y val="-1.4485773184159842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рус!$D$1:$F$1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рус!$D$2:$F$2</c:f>
              <c:numCache>
                <c:formatCode>#,##0.0</c:formatCode>
                <c:ptCount val="3"/>
                <c:pt idx="0">
                  <c:v>104132.258</c:v>
                </c:pt>
                <c:pt idx="1">
                  <c:v>63914.89</c:v>
                </c:pt>
                <c:pt idx="2">
                  <c:v>40217.368000000002</c:v>
                </c:pt>
              </c:numCache>
            </c:numRef>
          </c:val>
        </c:ser>
        <c:ser>
          <c:idx val="1"/>
          <c:order val="1"/>
          <c:tx>
            <c:strRef>
              <c:f>рус!$C$3</c:f>
              <c:strCache>
                <c:ptCount val="1"/>
                <c:pt idx="0">
                  <c:v>факт 01.07.16 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519379844961517E-3"/>
                  <c:y val="-5.65371024734982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7372407099610028E-17"/>
                  <c:y val="-5.653710247349822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185029196931801E-2"/>
                  <c:y val="-4.645613644584198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5503875968992317E-2"/>
                  <c:y val="-3.7691401648998819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рус!$D$1:$F$1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рус!$D$3:$F$3</c:f>
              <c:numCache>
                <c:formatCode>#,##0.0</c:formatCode>
                <c:ptCount val="3"/>
                <c:pt idx="0">
                  <c:v>126454.898</c:v>
                </c:pt>
                <c:pt idx="1">
                  <c:v>82773.11</c:v>
                </c:pt>
                <c:pt idx="2">
                  <c:v>43681.788</c:v>
                </c:pt>
              </c:numCache>
            </c:numRef>
          </c:val>
        </c:ser>
        <c:dLbls>
          <c:showVal val="1"/>
        </c:dLbls>
        <c:axId val="49272320"/>
        <c:axId val="49273856"/>
      </c:barChart>
      <c:catAx>
        <c:axId val="4927232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9273856"/>
        <c:crosses val="autoZero"/>
        <c:auto val="1"/>
        <c:lblAlgn val="ctr"/>
        <c:lblOffset val="100"/>
        <c:tickLblSkip val="1"/>
        <c:tickMarkSkip val="1"/>
      </c:catAx>
      <c:valAx>
        <c:axId val="49273856"/>
        <c:scaling>
          <c:orientation val="minMax"/>
        </c:scaling>
        <c:axPos val="l"/>
        <c:numFmt formatCode="#,##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272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981988834580048"/>
          <c:y val="0.83274588909601865"/>
          <c:w val="0.35206795036130328"/>
          <c:h val="0.1001177856301531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 u="none">
                <a:latin typeface="Times New Roman" pitchFamily="18" charset="0"/>
                <a:cs typeface="Times New Roman" pitchFamily="18" charset="0"/>
              </a:rPr>
              <a:t>2016 ж.</a:t>
            </a:r>
            <a:r>
              <a:rPr lang="kk-KZ" sz="1000" b="1" u="none">
                <a:latin typeface="Times New Roman" pitchFamily="18" charset="0"/>
                <a:cs typeface="Times New Roman" pitchFamily="18" charset="0"/>
              </a:rPr>
              <a:t> 1 жартыжылдықтың кіріс бөлігінің орындалуы </a:t>
            </a:r>
            <a:r>
              <a:rPr lang="en-US" sz="1000" u="none"/>
              <a:t>(</a:t>
            </a:r>
            <a:r>
              <a:rPr lang="kk-KZ" sz="1000" u="none"/>
              <a:t>млрд.теңге</a:t>
            </a:r>
            <a:r>
              <a:rPr lang="ru-RU" sz="1000" u="none"/>
              <a:t>).</a:t>
            </a:r>
          </a:p>
        </c:rich>
      </c:tx>
      <c:layout>
        <c:manualLayout>
          <c:xMode val="edge"/>
          <c:yMode val="edge"/>
          <c:x val="0.1627911145253188"/>
          <c:y val="3.533568904593639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852733717776666"/>
          <c:y val="0.26501812510028788"/>
          <c:w val="0.86046674476657958"/>
          <c:h val="0.44169687516714673"/>
        </c:manualLayout>
      </c:layout>
      <c:barChart>
        <c:barDir val="col"/>
        <c:grouping val="clustered"/>
        <c:ser>
          <c:idx val="0"/>
          <c:order val="0"/>
          <c:tx>
            <c:strRef>
              <c:f>каз!$C$2</c:f>
              <c:strCache>
                <c:ptCount val="1"/>
                <c:pt idx="0">
                  <c:v>2016 ж. 1 жартыжылдық болжамы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8103713031128836E-3"/>
                  <c:y val="-1.133066835069325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8103709111145492E-3"/>
                  <c:y val="-6.661388356070033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972044026918093E-3"/>
                  <c:y val="-1.4485773184159842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каз!$D$1:$F$1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каз!$D$2:$F$2</c:f>
              <c:numCache>
                <c:formatCode>#,##0.0</c:formatCode>
                <c:ptCount val="3"/>
                <c:pt idx="0">
                  <c:v>104132.258</c:v>
                </c:pt>
                <c:pt idx="1">
                  <c:v>63914.89</c:v>
                </c:pt>
                <c:pt idx="2">
                  <c:v>40217.368000000002</c:v>
                </c:pt>
              </c:numCache>
            </c:numRef>
          </c:val>
        </c:ser>
        <c:ser>
          <c:idx val="1"/>
          <c:order val="1"/>
          <c:tx>
            <c:strRef>
              <c:f>каз!$C$3</c:f>
              <c:strCache>
                <c:ptCount val="1"/>
                <c:pt idx="0">
                  <c:v>2016 ж. 1 жартыжылдық нақты түсімі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519379844961473E-3"/>
                  <c:y val="-5.65371024734982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7372407099609923E-17"/>
                  <c:y val="-5.653710247349822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185029196931783E-2"/>
                  <c:y val="-4.64561364458419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5503875968992303E-2"/>
                  <c:y val="-3.7691401648998819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каз!$D$1:$F$1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каз!$D$3:$F$3</c:f>
              <c:numCache>
                <c:formatCode>#,##0.0</c:formatCode>
                <c:ptCount val="3"/>
                <c:pt idx="0">
                  <c:v>126454.898</c:v>
                </c:pt>
                <c:pt idx="1">
                  <c:v>82773.11</c:v>
                </c:pt>
                <c:pt idx="2">
                  <c:v>43681.788</c:v>
                </c:pt>
              </c:numCache>
            </c:numRef>
          </c:val>
        </c:ser>
        <c:dLbls>
          <c:showVal val="1"/>
        </c:dLbls>
        <c:axId val="70816128"/>
        <c:axId val="70817664"/>
      </c:barChart>
      <c:catAx>
        <c:axId val="708161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0817664"/>
        <c:crosses val="autoZero"/>
        <c:auto val="1"/>
        <c:lblAlgn val="ctr"/>
        <c:lblOffset val="100"/>
        <c:tickLblSkip val="1"/>
        <c:tickMarkSkip val="1"/>
      </c:catAx>
      <c:valAx>
        <c:axId val="70817664"/>
        <c:scaling>
          <c:orientation val="minMax"/>
        </c:scaling>
        <c:axPos val="l"/>
        <c:numFmt formatCode="#,##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16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981996621904633"/>
          <c:y val="0.83274588909601865"/>
          <c:w val="0.42156231400443051"/>
          <c:h val="0.1001177856301531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B2D0-6A01-431F-8895-4963CA3C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nugmagul</cp:lastModifiedBy>
  <cp:revision>2</cp:revision>
  <cp:lastPrinted>2016-07-26T05:47:00Z</cp:lastPrinted>
  <dcterms:created xsi:type="dcterms:W3CDTF">2016-07-29T09:43:00Z</dcterms:created>
  <dcterms:modified xsi:type="dcterms:W3CDTF">2016-07-29T09:43:00Z</dcterms:modified>
</cp:coreProperties>
</file>