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E80" w:rsidRDefault="00C34E80" w:rsidP="00FD0FFA">
      <w:pPr>
        <w:pStyle w:val="a4"/>
        <w:tabs>
          <w:tab w:val="left" w:pos="0"/>
        </w:tabs>
        <w:ind w:firstLine="709"/>
        <w:jc w:val="both"/>
        <w:rPr>
          <w:rFonts w:ascii="Times New Roman" w:hAnsi="Times New Roman"/>
          <w:i/>
          <w:sz w:val="24"/>
          <w:szCs w:val="24"/>
          <w:lang w:val="kk-KZ"/>
        </w:rPr>
      </w:pPr>
    </w:p>
    <w:p w:rsidR="00C34E80" w:rsidRDefault="00C34E80" w:rsidP="00FD0FFA">
      <w:pPr>
        <w:pStyle w:val="a4"/>
        <w:tabs>
          <w:tab w:val="left" w:pos="0"/>
        </w:tabs>
        <w:ind w:firstLine="709"/>
        <w:jc w:val="both"/>
        <w:rPr>
          <w:rFonts w:ascii="Times New Roman" w:hAnsi="Times New Roman"/>
          <w:i/>
          <w:sz w:val="24"/>
          <w:szCs w:val="24"/>
          <w:lang w:val="kk-KZ"/>
        </w:rPr>
      </w:pPr>
    </w:p>
    <w:p w:rsidR="001A4C0D" w:rsidRPr="00AE4215" w:rsidRDefault="00B93B36" w:rsidP="00B93B36">
      <w:pPr>
        <w:pStyle w:val="1"/>
        <w:shd w:val="clear" w:color="auto" w:fill="auto"/>
        <w:tabs>
          <w:tab w:val="left" w:pos="0"/>
        </w:tabs>
        <w:spacing w:after="0" w:line="240" w:lineRule="auto"/>
        <w:ind w:left="40" w:right="-1" w:firstLine="0"/>
        <w:jc w:val="both"/>
        <w:rPr>
          <w:b/>
          <w:sz w:val="28"/>
        </w:rPr>
      </w:pPr>
      <w:r>
        <w:rPr>
          <w:b/>
          <w:sz w:val="28"/>
          <w:lang w:val="kk-KZ"/>
        </w:rPr>
        <w:t xml:space="preserve">  </w:t>
      </w:r>
      <w:r w:rsidR="00C34E80">
        <w:rPr>
          <w:b/>
          <w:sz w:val="28"/>
          <w:lang w:val="kk-KZ"/>
        </w:rPr>
        <w:t xml:space="preserve">       </w:t>
      </w:r>
      <w:r>
        <w:rPr>
          <w:b/>
          <w:sz w:val="28"/>
          <w:lang w:val="kk-KZ"/>
        </w:rPr>
        <w:t xml:space="preserve"> </w:t>
      </w:r>
      <w:r w:rsidR="001A4C0D" w:rsidRPr="00AE4215">
        <w:rPr>
          <w:b/>
          <w:sz w:val="28"/>
        </w:rPr>
        <w:t xml:space="preserve">О соблюдении </w:t>
      </w:r>
      <w:r>
        <w:rPr>
          <w:b/>
          <w:sz w:val="28"/>
          <w:lang w:val="kk-KZ"/>
        </w:rPr>
        <w:t>з</w:t>
      </w:r>
      <w:r w:rsidR="001A4C0D" w:rsidRPr="00AE4215">
        <w:rPr>
          <w:b/>
          <w:sz w:val="28"/>
        </w:rPr>
        <w:t>аконодательства ЕАЭС при транзите товаров</w:t>
      </w:r>
    </w:p>
    <w:p w:rsidR="001A4C0D" w:rsidRDefault="001A4C0D" w:rsidP="001A4C0D">
      <w:pPr>
        <w:pStyle w:val="1"/>
        <w:shd w:val="clear" w:color="auto" w:fill="auto"/>
        <w:tabs>
          <w:tab w:val="left" w:pos="2552"/>
        </w:tabs>
        <w:spacing w:after="0" w:line="240" w:lineRule="auto"/>
        <w:ind w:left="40" w:right="5386" w:firstLine="0"/>
        <w:jc w:val="both"/>
        <w:rPr>
          <w:sz w:val="28"/>
        </w:rPr>
      </w:pPr>
    </w:p>
    <w:p w:rsidR="001A4C0D" w:rsidRDefault="001A4C0D" w:rsidP="00FD0FFA">
      <w:pPr>
        <w:pStyle w:val="1"/>
        <w:shd w:val="clear" w:color="auto" w:fill="auto"/>
        <w:spacing w:after="0" w:line="276" w:lineRule="auto"/>
        <w:ind w:left="40" w:right="-1" w:firstLine="700"/>
        <w:jc w:val="both"/>
        <w:rPr>
          <w:sz w:val="28"/>
        </w:rPr>
      </w:pPr>
      <w:r w:rsidRPr="00A83FA0">
        <w:rPr>
          <w:sz w:val="28"/>
        </w:rPr>
        <w:t>Одной из новелл Таможенного кодекса Евразийского экономического союза (далее — ТК ЕАЭС) является установление в соответствии со статьей 304 ТК ЕАЭС особенностей применения, завершения и прекращения действия таможенной процедуры таможенного транзита (далее - ТПТТ) в отношении товаров Евразийского экономического союза (далее - товары Союза), перевозимых с одной части таможенной территории ЕАЭС на другую часть таможенной территории ЕАЭС через территории государств, не являющихся членами ЕАЭС, и (или) морем.</w:t>
      </w:r>
    </w:p>
    <w:p w:rsidR="001A4C0D" w:rsidRPr="00A83FA0" w:rsidRDefault="001A4C0D" w:rsidP="00FD0FFA">
      <w:pPr>
        <w:pStyle w:val="1"/>
        <w:shd w:val="clear" w:color="auto" w:fill="auto"/>
        <w:spacing w:after="0" w:line="276" w:lineRule="auto"/>
        <w:ind w:left="40" w:right="-1" w:firstLine="700"/>
        <w:jc w:val="both"/>
        <w:rPr>
          <w:sz w:val="28"/>
        </w:rPr>
      </w:pPr>
      <w:r w:rsidRPr="00A83FA0">
        <w:rPr>
          <w:sz w:val="28"/>
        </w:rPr>
        <w:t xml:space="preserve">Согласно пункту 5 статьи 304 ТК ЕАЭС таможенные операции, связанные с помещением товаров </w:t>
      </w:r>
      <w:r w:rsidR="00052A2A">
        <w:rPr>
          <w:sz w:val="28"/>
        </w:rPr>
        <w:t>ЕАЭС</w:t>
      </w:r>
      <w:r w:rsidRPr="00A83FA0">
        <w:rPr>
          <w:sz w:val="28"/>
        </w:rPr>
        <w:t xml:space="preserve"> под </w:t>
      </w:r>
      <w:r w:rsidR="00BF3D0E">
        <w:rPr>
          <w:sz w:val="28"/>
          <w:lang w:val="kk-KZ"/>
        </w:rPr>
        <w:t>таможенную процедуру таможенного транзита</w:t>
      </w:r>
      <w:r w:rsidRPr="00A83FA0">
        <w:rPr>
          <w:sz w:val="28"/>
        </w:rPr>
        <w:t>, совершаются исключительно в таможенном органе, в регионе деятельности которого находится отправитель указанных товаров, в следующих случаях:</w:t>
      </w:r>
    </w:p>
    <w:p w:rsidR="001A4C0D" w:rsidRPr="00A83FA0" w:rsidRDefault="001A4C0D" w:rsidP="00FD0FFA">
      <w:pPr>
        <w:pStyle w:val="1"/>
        <w:numPr>
          <w:ilvl w:val="0"/>
          <w:numId w:val="1"/>
        </w:numPr>
        <w:shd w:val="clear" w:color="auto" w:fill="auto"/>
        <w:tabs>
          <w:tab w:val="left" w:pos="993"/>
        </w:tabs>
        <w:spacing w:after="0" w:line="276" w:lineRule="auto"/>
        <w:ind w:left="40" w:right="-1" w:firstLine="700"/>
        <w:jc w:val="both"/>
        <w:rPr>
          <w:sz w:val="28"/>
        </w:rPr>
      </w:pPr>
      <w:r w:rsidRPr="00A83FA0">
        <w:rPr>
          <w:sz w:val="28"/>
        </w:rPr>
        <w:t xml:space="preserve"> товары </w:t>
      </w:r>
      <w:r w:rsidR="007264C8">
        <w:rPr>
          <w:sz w:val="28"/>
        </w:rPr>
        <w:t>ЕАЭС</w:t>
      </w:r>
      <w:r w:rsidRPr="00A83FA0">
        <w:rPr>
          <w:sz w:val="28"/>
        </w:rPr>
        <w:t xml:space="preserve"> перевозятся </w:t>
      </w:r>
      <w:r w:rsidRPr="001A4C0D">
        <w:rPr>
          <w:sz w:val="28"/>
        </w:rPr>
        <w:t>железнодорожным транспортом</w:t>
      </w:r>
      <w:r w:rsidRPr="00A83FA0">
        <w:rPr>
          <w:sz w:val="28"/>
        </w:rPr>
        <w:t xml:space="preserve">, за исключением товаров </w:t>
      </w:r>
      <w:r w:rsidR="007264C8">
        <w:rPr>
          <w:sz w:val="28"/>
        </w:rPr>
        <w:t>ЕАЭС</w:t>
      </w:r>
      <w:r w:rsidRPr="00A83FA0">
        <w:rPr>
          <w:sz w:val="28"/>
        </w:rPr>
        <w:t>, перевозимых в почтовых и багажных (почтово-багажных) вагонах, следующих в составе пассажирских поездов;</w:t>
      </w:r>
    </w:p>
    <w:p w:rsidR="001A4C0D" w:rsidRPr="00A83FA0" w:rsidRDefault="001A4C0D" w:rsidP="00FD0FFA">
      <w:pPr>
        <w:pStyle w:val="1"/>
        <w:numPr>
          <w:ilvl w:val="0"/>
          <w:numId w:val="1"/>
        </w:numPr>
        <w:shd w:val="clear" w:color="auto" w:fill="auto"/>
        <w:tabs>
          <w:tab w:val="left" w:pos="993"/>
        </w:tabs>
        <w:spacing w:after="0" w:line="276" w:lineRule="auto"/>
        <w:ind w:left="40" w:right="-1" w:firstLine="700"/>
        <w:jc w:val="both"/>
        <w:rPr>
          <w:sz w:val="28"/>
        </w:rPr>
      </w:pPr>
      <w:r w:rsidRPr="00A83FA0">
        <w:rPr>
          <w:sz w:val="28"/>
        </w:rPr>
        <w:t xml:space="preserve"> в государстве - члене ЕАЭС, на территории которого товары Союза помещаются под </w:t>
      </w:r>
      <w:r w:rsidR="00B93B36">
        <w:rPr>
          <w:sz w:val="28"/>
          <w:lang w:val="kk-KZ"/>
        </w:rPr>
        <w:t>таможенную процедуру таможенного транзита</w:t>
      </w:r>
      <w:r w:rsidRPr="00A83FA0">
        <w:rPr>
          <w:sz w:val="28"/>
        </w:rPr>
        <w:t>, в отношении таких товаров установлены ставки вывозных таможенных пошлин;</w:t>
      </w:r>
    </w:p>
    <w:p w:rsidR="001A4C0D" w:rsidRDefault="001A4C0D" w:rsidP="00FD0FFA">
      <w:pPr>
        <w:pStyle w:val="1"/>
        <w:numPr>
          <w:ilvl w:val="0"/>
          <w:numId w:val="1"/>
        </w:numPr>
        <w:shd w:val="clear" w:color="auto" w:fill="auto"/>
        <w:tabs>
          <w:tab w:val="left" w:pos="993"/>
        </w:tabs>
        <w:spacing w:after="0" w:line="276" w:lineRule="auto"/>
        <w:ind w:left="40" w:right="-1" w:firstLine="700"/>
        <w:jc w:val="both"/>
        <w:rPr>
          <w:sz w:val="28"/>
        </w:rPr>
      </w:pPr>
      <w:r w:rsidRPr="00A83FA0">
        <w:rPr>
          <w:sz w:val="28"/>
        </w:rPr>
        <w:t xml:space="preserve"> условиями перевозки товаров </w:t>
      </w:r>
      <w:r w:rsidR="007264C8">
        <w:rPr>
          <w:sz w:val="28"/>
        </w:rPr>
        <w:t>ЕАЭС</w:t>
      </w:r>
      <w:r w:rsidRPr="00A83FA0">
        <w:rPr>
          <w:sz w:val="28"/>
        </w:rPr>
        <w:t xml:space="preserve"> предусмотрено совершение грузовых операций на территориях государств, не являющихся членами ЕАЭС.</w:t>
      </w:r>
    </w:p>
    <w:p w:rsidR="001A4C0D" w:rsidRPr="00A83FA0" w:rsidRDefault="001A4C0D" w:rsidP="00FD0FFA">
      <w:pPr>
        <w:pStyle w:val="1"/>
        <w:shd w:val="clear" w:color="auto" w:fill="auto"/>
        <w:spacing w:after="0" w:line="276" w:lineRule="auto"/>
        <w:ind w:right="20" w:firstLine="709"/>
        <w:jc w:val="both"/>
        <w:rPr>
          <w:sz w:val="28"/>
        </w:rPr>
      </w:pPr>
      <w:r>
        <w:rPr>
          <w:sz w:val="28"/>
        </w:rPr>
        <w:t xml:space="preserve">Заблаговременное декларирование товаров </w:t>
      </w:r>
      <w:r w:rsidR="007264C8">
        <w:rPr>
          <w:sz w:val="28"/>
        </w:rPr>
        <w:t>ЕАЭС</w:t>
      </w:r>
      <w:r>
        <w:rPr>
          <w:sz w:val="28"/>
        </w:rPr>
        <w:t xml:space="preserve"> </w:t>
      </w:r>
      <w:r w:rsidR="007264C8">
        <w:rPr>
          <w:sz w:val="28"/>
        </w:rPr>
        <w:t xml:space="preserve">(в пункте отправки) </w:t>
      </w:r>
      <w:r w:rsidR="008B2B25" w:rsidRPr="00A83FA0">
        <w:rPr>
          <w:sz w:val="28"/>
        </w:rPr>
        <w:t xml:space="preserve">в соответствии с </w:t>
      </w:r>
      <w:r w:rsidR="00B93B36">
        <w:rPr>
          <w:sz w:val="28"/>
          <w:lang w:val="kk-KZ"/>
        </w:rPr>
        <w:t>таможенной процедурой таможенного транзита</w:t>
      </w:r>
      <w:r w:rsidR="008B2B25" w:rsidRPr="00A83FA0">
        <w:rPr>
          <w:sz w:val="28"/>
        </w:rPr>
        <w:t xml:space="preserve"> </w:t>
      </w:r>
      <w:r w:rsidR="008B2B25">
        <w:rPr>
          <w:sz w:val="28"/>
        </w:rPr>
        <w:t xml:space="preserve">и </w:t>
      </w:r>
      <w:r w:rsidR="008B2B25" w:rsidRPr="00A83FA0">
        <w:rPr>
          <w:sz w:val="28"/>
        </w:rPr>
        <w:t xml:space="preserve">их предъявления таможенному органу, расположенному в месте убытия с таможенной территории ЕАЭС </w:t>
      </w:r>
      <w:r w:rsidR="008B2B25">
        <w:rPr>
          <w:sz w:val="28"/>
        </w:rPr>
        <w:t>обеспечит</w:t>
      </w:r>
      <w:r w:rsidRPr="00A83FA0">
        <w:rPr>
          <w:sz w:val="28"/>
        </w:rPr>
        <w:t xml:space="preserve"> </w:t>
      </w:r>
      <w:r w:rsidR="008B2B25">
        <w:rPr>
          <w:sz w:val="28"/>
        </w:rPr>
        <w:t>беспрепятственное прохождение транспортных средств через пункты пропуска, расположенные в местах убытия</w:t>
      </w:r>
      <w:r w:rsidR="008B2B25" w:rsidRPr="008B2B25">
        <w:rPr>
          <w:sz w:val="28"/>
        </w:rPr>
        <w:t xml:space="preserve"> </w:t>
      </w:r>
      <w:r w:rsidR="00A9208C">
        <w:rPr>
          <w:sz w:val="28"/>
        </w:rPr>
        <w:t xml:space="preserve">таких </w:t>
      </w:r>
      <w:r w:rsidR="008B2B25" w:rsidRPr="00A83FA0">
        <w:rPr>
          <w:sz w:val="28"/>
        </w:rPr>
        <w:t xml:space="preserve">товаров с </w:t>
      </w:r>
      <w:r w:rsidR="008B2B25">
        <w:rPr>
          <w:sz w:val="28"/>
        </w:rPr>
        <w:t xml:space="preserve">таможенной </w:t>
      </w:r>
      <w:r w:rsidR="008B2B25" w:rsidRPr="00A83FA0">
        <w:rPr>
          <w:sz w:val="28"/>
        </w:rPr>
        <w:t>территории</w:t>
      </w:r>
      <w:r w:rsidR="008B2B25">
        <w:rPr>
          <w:sz w:val="28"/>
        </w:rPr>
        <w:t xml:space="preserve"> ЕАЭС. </w:t>
      </w:r>
    </w:p>
    <w:p w:rsidR="00E81286" w:rsidRDefault="00B93B36" w:rsidP="00FD0FFA">
      <w:pPr>
        <w:rPr>
          <w:lang w:val="kk-KZ"/>
        </w:rPr>
      </w:pPr>
      <w:r>
        <w:rPr>
          <w:lang w:val="kk-KZ"/>
        </w:rPr>
        <w:tab/>
      </w:r>
    </w:p>
    <w:p w:rsidR="00B93B36" w:rsidRPr="0035154C" w:rsidRDefault="00B93B36" w:rsidP="0035154C">
      <w:pPr>
        <w:jc w:val="both"/>
        <w:rPr>
          <w:rFonts w:ascii="Times New Roman" w:hAnsi="Times New Roman" w:cs="Times New Roman"/>
          <w:sz w:val="28"/>
          <w:szCs w:val="28"/>
          <w:lang w:val="kk-KZ"/>
        </w:rPr>
      </w:pPr>
      <w:r>
        <w:rPr>
          <w:lang w:val="kk-KZ"/>
        </w:rPr>
        <w:tab/>
      </w:r>
    </w:p>
    <w:p w:rsidR="00AE4215" w:rsidRDefault="00B93B36">
      <w:pPr>
        <w:rPr>
          <w:lang w:val="kk-KZ"/>
        </w:rPr>
      </w:pPr>
      <w:r>
        <w:rPr>
          <w:lang w:val="kk-KZ"/>
        </w:rPr>
        <w:tab/>
      </w:r>
    </w:p>
    <w:p w:rsidR="00AE4215" w:rsidRDefault="00AE4215">
      <w:pPr>
        <w:rPr>
          <w:lang w:val="kk-KZ"/>
        </w:rPr>
      </w:pPr>
    </w:p>
    <w:p w:rsidR="00AE4215" w:rsidRDefault="00AE4215">
      <w:pPr>
        <w:rPr>
          <w:lang w:val="kk-KZ"/>
        </w:rPr>
      </w:pPr>
    </w:p>
    <w:p w:rsidR="00AE4215" w:rsidRDefault="00AE4215">
      <w:pPr>
        <w:rPr>
          <w:lang w:val="kk-KZ"/>
        </w:rPr>
      </w:pPr>
    </w:p>
    <w:p w:rsidR="00AE4215" w:rsidRPr="00AE4215" w:rsidRDefault="00AE4215" w:rsidP="00AE4215">
      <w:pPr>
        <w:pStyle w:val="1"/>
        <w:shd w:val="clear" w:color="auto" w:fill="auto"/>
        <w:spacing w:after="0" w:line="310" w:lineRule="exact"/>
        <w:ind w:left="40" w:right="-1" w:firstLine="700"/>
        <w:jc w:val="both"/>
        <w:rPr>
          <w:b/>
          <w:sz w:val="28"/>
          <w:lang w:val="kk-KZ"/>
        </w:rPr>
      </w:pPr>
      <w:r w:rsidRPr="00AE4215">
        <w:rPr>
          <w:b/>
          <w:sz w:val="28"/>
          <w:lang w:val="kk-KZ"/>
        </w:rPr>
        <w:t>Тауарлар транзиті кезінде ЕАЭО заңнамаларының сақталуы</w:t>
      </w:r>
    </w:p>
    <w:p w:rsidR="00AE4215" w:rsidRDefault="00AE4215" w:rsidP="00AE4215">
      <w:pPr>
        <w:pStyle w:val="1"/>
        <w:shd w:val="clear" w:color="auto" w:fill="auto"/>
        <w:spacing w:after="0" w:line="310" w:lineRule="exact"/>
        <w:ind w:left="40" w:right="-1" w:firstLine="700"/>
        <w:jc w:val="both"/>
        <w:rPr>
          <w:sz w:val="28"/>
          <w:lang w:val="kk-KZ"/>
        </w:rPr>
      </w:pPr>
    </w:p>
    <w:p w:rsidR="00AE4215" w:rsidRDefault="00AE4215" w:rsidP="00FD0FFA">
      <w:pPr>
        <w:pStyle w:val="1"/>
        <w:shd w:val="clear" w:color="auto" w:fill="auto"/>
        <w:spacing w:after="0" w:line="276" w:lineRule="auto"/>
        <w:ind w:left="40" w:right="-1" w:firstLine="700"/>
        <w:jc w:val="both"/>
        <w:rPr>
          <w:bCs/>
          <w:sz w:val="28"/>
          <w:szCs w:val="28"/>
          <w:lang w:val="kk-KZ"/>
        </w:rPr>
      </w:pPr>
      <w:r>
        <w:rPr>
          <w:sz w:val="28"/>
          <w:lang w:val="kk-KZ"/>
        </w:rPr>
        <w:t xml:space="preserve">Еуразиялық экономикалық одақтың кеден кодексінің (бұдан әрі -ЕАЭО КК) новеллаларының бірі – ЕАЭО КК 304-бабына сәйкес </w:t>
      </w:r>
      <w:r w:rsidRPr="00BF3D0E">
        <w:rPr>
          <w:bCs/>
          <w:sz w:val="28"/>
          <w:szCs w:val="28"/>
          <w:lang w:val="kk-KZ"/>
        </w:rPr>
        <w:t>Одақтың мүшелері болып табылмайтын мемлекеттердің аумақтары арқылы Одақтың кедендік аумағының бір бөлігінен Одақтың кедендік аумағының басқа бөлігіне және (немесе) теңізбен тасымалданатын Одақтың тауарларына қатысты кедендік транзит кедендік рәсімінің қолданысын қолдану, аяқтау және тоқтату ерекшеліктері</w:t>
      </w:r>
      <w:r>
        <w:rPr>
          <w:bCs/>
          <w:sz w:val="28"/>
          <w:szCs w:val="28"/>
          <w:lang w:val="kk-KZ"/>
        </w:rPr>
        <w:t>н орнату болып табылады.</w:t>
      </w:r>
    </w:p>
    <w:p w:rsidR="00AE4215" w:rsidRDefault="00AE4215" w:rsidP="00FD0FFA">
      <w:pPr>
        <w:pStyle w:val="1"/>
        <w:shd w:val="clear" w:color="auto" w:fill="auto"/>
        <w:spacing w:after="0" w:line="276" w:lineRule="auto"/>
        <w:ind w:left="40" w:right="-1" w:firstLine="700"/>
        <w:jc w:val="both"/>
        <w:rPr>
          <w:sz w:val="28"/>
          <w:szCs w:val="28"/>
          <w:lang w:val="kk-KZ"/>
        </w:rPr>
      </w:pPr>
      <w:r>
        <w:rPr>
          <w:sz w:val="28"/>
          <w:lang w:val="kk-KZ"/>
        </w:rPr>
        <w:t>ЕАЭО КК 304-бабының 5-тармағына сәйкес</w:t>
      </w:r>
      <w:r w:rsidRPr="00AE4215">
        <w:rPr>
          <w:lang w:val="kk-KZ"/>
        </w:rPr>
        <w:t xml:space="preserve"> </w:t>
      </w:r>
      <w:r w:rsidRPr="00AE4215">
        <w:rPr>
          <w:sz w:val="28"/>
          <w:szCs w:val="28"/>
          <w:lang w:val="kk-KZ"/>
        </w:rPr>
        <w:t>ЕАЭО тауарларын кедендік транзит кедендік рәсімге орналастыруға байланысты кедендік операциялар қызмет өңірінде Одақтың тауарларын жөнелтуші орналасқан кеден органында ғана мынадай жағдайларда жасалады:</w:t>
      </w:r>
    </w:p>
    <w:p w:rsidR="00AE4215" w:rsidRPr="00AE4215" w:rsidRDefault="00AE4215" w:rsidP="00FD0FFA">
      <w:pPr>
        <w:pStyle w:val="a3"/>
        <w:spacing w:before="0" w:beforeAutospacing="0" w:after="0" w:afterAutospacing="0" w:line="276" w:lineRule="auto"/>
        <w:ind w:firstLine="708"/>
        <w:jc w:val="both"/>
        <w:rPr>
          <w:sz w:val="28"/>
          <w:szCs w:val="28"/>
          <w:lang w:val="kk-KZ"/>
        </w:rPr>
      </w:pPr>
      <w:r w:rsidRPr="00AE4215">
        <w:rPr>
          <w:sz w:val="28"/>
          <w:szCs w:val="28"/>
          <w:lang w:val="kk-KZ"/>
        </w:rPr>
        <w:t xml:space="preserve">1) пошталарды, багажды (пошта-багажды) вагондарда тасымалданатын, жолаушылар поездерінің құрамында болатын тауарларды қоспағанда, теміржол көлігімен тасымалданатын </w:t>
      </w:r>
      <w:r>
        <w:rPr>
          <w:sz w:val="28"/>
          <w:szCs w:val="28"/>
          <w:lang w:val="kk-KZ"/>
        </w:rPr>
        <w:t>ЕАЭО</w:t>
      </w:r>
      <w:r w:rsidRPr="00AE4215">
        <w:rPr>
          <w:sz w:val="28"/>
          <w:szCs w:val="28"/>
          <w:lang w:val="kk-KZ"/>
        </w:rPr>
        <w:t xml:space="preserve"> тауарлары;</w:t>
      </w:r>
    </w:p>
    <w:p w:rsidR="00AE4215" w:rsidRPr="00AE4215" w:rsidRDefault="00AE4215" w:rsidP="00FD0FFA">
      <w:pPr>
        <w:pStyle w:val="a3"/>
        <w:spacing w:before="0" w:beforeAutospacing="0" w:after="0" w:afterAutospacing="0" w:line="276" w:lineRule="auto"/>
        <w:jc w:val="both"/>
        <w:rPr>
          <w:sz w:val="28"/>
          <w:szCs w:val="28"/>
          <w:lang w:val="kk-KZ"/>
        </w:rPr>
      </w:pPr>
      <w:r w:rsidRPr="00AE4215">
        <w:rPr>
          <w:sz w:val="28"/>
          <w:szCs w:val="28"/>
          <w:lang w:val="kk-KZ"/>
        </w:rPr>
        <w:t xml:space="preserve">      </w:t>
      </w:r>
      <w:r>
        <w:rPr>
          <w:sz w:val="28"/>
          <w:szCs w:val="28"/>
          <w:lang w:val="kk-KZ"/>
        </w:rPr>
        <w:tab/>
      </w:r>
      <w:r w:rsidRPr="00AE4215">
        <w:rPr>
          <w:sz w:val="28"/>
          <w:szCs w:val="28"/>
          <w:lang w:val="kk-KZ"/>
        </w:rPr>
        <w:t xml:space="preserve">2) Одақтың тауарлары </w:t>
      </w:r>
      <w:r>
        <w:rPr>
          <w:sz w:val="28"/>
          <w:szCs w:val="28"/>
          <w:lang w:val="kk-KZ"/>
        </w:rPr>
        <w:t>ЕАЭО</w:t>
      </w:r>
      <w:r w:rsidRPr="00AE4215">
        <w:rPr>
          <w:sz w:val="28"/>
          <w:szCs w:val="28"/>
          <w:lang w:val="kk-KZ"/>
        </w:rPr>
        <w:t xml:space="preserve"> мүше мемлекеттің аумағында кедендік транзит кедендік рәсімімен орналастырылады, мұндай тауарларға қатысты кедендік әкету баж мөлшерлемелері белгіленген;</w:t>
      </w:r>
    </w:p>
    <w:p w:rsidR="00AE4215" w:rsidRPr="00AE4215" w:rsidRDefault="00AE4215" w:rsidP="00FD0FFA">
      <w:pPr>
        <w:pStyle w:val="a3"/>
        <w:spacing w:before="0" w:beforeAutospacing="0" w:after="0" w:afterAutospacing="0" w:line="276" w:lineRule="auto"/>
        <w:jc w:val="both"/>
        <w:rPr>
          <w:sz w:val="28"/>
          <w:szCs w:val="28"/>
          <w:lang w:val="kk-KZ"/>
        </w:rPr>
      </w:pPr>
      <w:r w:rsidRPr="00AE4215">
        <w:rPr>
          <w:sz w:val="28"/>
          <w:szCs w:val="28"/>
          <w:lang w:val="kk-KZ"/>
        </w:rPr>
        <w:t xml:space="preserve">      </w:t>
      </w:r>
      <w:r>
        <w:rPr>
          <w:sz w:val="28"/>
          <w:szCs w:val="28"/>
          <w:lang w:val="kk-KZ"/>
        </w:rPr>
        <w:tab/>
      </w:r>
      <w:r w:rsidRPr="00AE4215">
        <w:rPr>
          <w:sz w:val="28"/>
          <w:szCs w:val="28"/>
          <w:lang w:val="kk-KZ"/>
        </w:rPr>
        <w:t>3) тасымалдау шарттарында Одақтың мүшелері болып табылмайтын мемлекеттер аумақтарында жүк операцияларын жасау қарастырылған.</w:t>
      </w:r>
    </w:p>
    <w:p w:rsidR="00AE4215" w:rsidRDefault="00FD0FFA" w:rsidP="00FD0FFA">
      <w:pPr>
        <w:ind w:firstLine="708"/>
        <w:jc w:val="both"/>
        <w:rPr>
          <w:lang w:val="kk-KZ"/>
        </w:rPr>
      </w:pPr>
      <w:r w:rsidRPr="0035154C">
        <w:rPr>
          <w:rFonts w:ascii="Times New Roman" w:hAnsi="Times New Roman" w:cs="Times New Roman"/>
          <w:sz w:val="28"/>
          <w:szCs w:val="28"/>
          <w:lang w:val="kk-KZ"/>
        </w:rPr>
        <w:t xml:space="preserve">ЕАЭО </w:t>
      </w:r>
      <w:r>
        <w:rPr>
          <w:rFonts w:ascii="Times New Roman" w:hAnsi="Times New Roman" w:cs="Times New Roman"/>
          <w:sz w:val="28"/>
          <w:szCs w:val="28"/>
          <w:lang w:val="kk-KZ"/>
        </w:rPr>
        <w:t>тауарларын дер кезінде кедендік транзит кеден рәсіміне сәйкес декларациялау (жөнелту пунктінде) және оны ЕАЭО кедендік аумағынан әкету орнында орналасқан кеден органына ұсыну осындай тауарлардың ЕАЭО кедендік аумағынан әкету орнында орналасқан өткізу пункттері арқылы көлік құралдарының кедергісіз өтуін қамтамасыз етеді.</w:t>
      </w:r>
    </w:p>
    <w:p w:rsidR="00AE4215" w:rsidRDefault="00AE4215">
      <w:pPr>
        <w:rPr>
          <w:lang w:val="kk-KZ"/>
        </w:rPr>
      </w:pPr>
    </w:p>
    <w:p w:rsidR="00AE4215" w:rsidRDefault="00AE4215">
      <w:pPr>
        <w:rPr>
          <w:lang w:val="kk-KZ"/>
        </w:rPr>
      </w:pPr>
    </w:p>
    <w:p w:rsidR="00AE4215" w:rsidRDefault="00AE4215">
      <w:pPr>
        <w:rPr>
          <w:lang w:val="kk-KZ"/>
        </w:rPr>
      </w:pPr>
    </w:p>
    <w:p w:rsidR="00AE4215" w:rsidRDefault="00AE4215">
      <w:pPr>
        <w:rPr>
          <w:lang w:val="kk-KZ"/>
        </w:rPr>
      </w:pPr>
    </w:p>
    <w:p w:rsidR="00AE4215" w:rsidRDefault="00AE4215">
      <w:pPr>
        <w:rPr>
          <w:lang w:val="kk-KZ"/>
        </w:rPr>
      </w:pPr>
    </w:p>
    <w:p w:rsidR="00AE4215" w:rsidRDefault="00AE4215">
      <w:pPr>
        <w:rPr>
          <w:lang w:val="kk-KZ"/>
        </w:rPr>
      </w:pPr>
    </w:p>
    <w:p w:rsidR="00AE4215" w:rsidRPr="00AE4215" w:rsidRDefault="00AE4215">
      <w:pPr>
        <w:rPr>
          <w:lang w:val="kk-KZ"/>
        </w:rPr>
      </w:pPr>
    </w:p>
    <w:sectPr w:rsidR="00AE4215" w:rsidRPr="00AE4215" w:rsidSect="00E81286">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309" w:rsidRDefault="00A11309" w:rsidP="00E26079">
      <w:pPr>
        <w:spacing w:after="0" w:line="240" w:lineRule="auto"/>
      </w:pPr>
      <w:r>
        <w:separator/>
      </w:r>
    </w:p>
  </w:endnote>
  <w:endnote w:type="continuationSeparator" w:id="1">
    <w:p w:rsidR="00A11309" w:rsidRDefault="00A11309" w:rsidP="00E260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309" w:rsidRDefault="00A11309" w:rsidP="00E26079">
      <w:pPr>
        <w:spacing w:after="0" w:line="240" w:lineRule="auto"/>
      </w:pPr>
      <w:r>
        <w:separator/>
      </w:r>
    </w:p>
  </w:footnote>
  <w:footnote w:type="continuationSeparator" w:id="1">
    <w:p w:rsidR="00A11309" w:rsidRDefault="00A11309" w:rsidP="00E260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079" w:rsidRDefault="00CF5F05">
    <w:pPr>
      <w:pStyle w:val="a6"/>
    </w:pPr>
    <w:r>
      <w:rPr>
        <w:noProof/>
        <w:lang w:eastAsia="ru-RU"/>
      </w:rPr>
      <w:pict>
        <v:shapetype id="_x0000_t202" coordsize="21600,21600" o:spt="202" path="m,l,21600r21600,l21600,xe">
          <v:stroke joinstyle="miter"/>
          <v:path gradientshapeok="t" o:connecttype="rect"/>
        </v:shapetype>
        <v:shape id="_x0000_s2049" type="#_x0000_t202" style="position:absolute;margin-left:480.25pt;margin-top:48.8pt;width:30pt;height:631.4pt;z-index:251658240;mso-wrap-style:tight" stroked="f">
          <v:textbox style="layout-flow:vertical;mso-layout-flow-alt:bottom-to-top">
            <w:txbxContent>
              <w:p w:rsidR="00E26079" w:rsidRPr="00E26079" w:rsidRDefault="00E26079">
                <w:pPr>
                  <w:rPr>
                    <w:rFonts w:ascii="Times New Roman" w:hAnsi="Times New Roman" w:cs="Times New Roman"/>
                    <w:color w:val="0C0000"/>
                    <w:sz w:val="14"/>
                  </w:rPr>
                </w:pPr>
                <w:r>
                  <w:rPr>
                    <w:rFonts w:ascii="Times New Roman" w:hAnsi="Times New Roman" w:cs="Times New Roman"/>
                    <w:color w:val="0C0000"/>
                    <w:sz w:val="14"/>
                  </w:rPr>
                  <w:t xml:space="preserve">22.05.2018 ЕСЭДО ГО (версия 7.19.2)  Копия электронного документа. Положительный результат проверки ЭЦП.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54E16"/>
    <w:multiLevelType w:val="multilevel"/>
    <w:tmpl w:val="A8F8D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1A4C0D"/>
    <w:rsid w:val="00052A2A"/>
    <w:rsid w:val="001A4C0D"/>
    <w:rsid w:val="0035154C"/>
    <w:rsid w:val="006075D6"/>
    <w:rsid w:val="007264C8"/>
    <w:rsid w:val="00817F6D"/>
    <w:rsid w:val="008B2B25"/>
    <w:rsid w:val="009A443A"/>
    <w:rsid w:val="00A11309"/>
    <w:rsid w:val="00A9208C"/>
    <w:rsid w:val="00AE134D"/>
    <w:rsid w:val="00AE4215"/>
    <w:rsid w:val="00B93B36"/>
    <w:rsid w:val="00BF3D0E"/>
    <w:rsid w:val="00C34E80"/>
    <w:rsid w:val="00C900D1"/>
    <w:rsid w:val="00CA68AC"/>
    <w:rsid w:val="00CF5F05"/>
    <w:rsid w:val="00E24D59"/>
    <w:rsid w:val="00E26079"/>
    <w:rsid w:val="00E81286"/>
    <w:rsid w:val="00FD0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2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link w:val="1"/>
    <w:rsid w:val="001A4C0D"/>
    <w:rPr>
      <w:rFonts w:ascii="Times New Roman" w:eastAsia="Times New Roman" w:hAnsi="Times New Roman"/>
      <w:spacing w:val="1"/>
      <w:shd w:val="clear" w:color="auto" w:fill="FFFFFF"/>
    </w:rPr>
  </w:style>
  <w:style w:type="paragraph" w:customStyle="1" w:styleId="1">
    <w:name w:val="Основной текст1"/>
    <w:basedOn w:val="a"/>
    <w:link w:val="Bodytext"/>
    <w:rsid w:val="001A4C0D"/>
    <w:pPr>
      <w:widowControl w:val="0"/>
      <w:shd w:val="clear" w:color="auto" w:fill="FFFFFF"/>
      <w:spacing w:after="180" w:line="317" w:lineRule="exact"/>
      <w:ind w:hanging="260"/>
    </w:pPr>
    <w:rPr>
      <w:rFonts w:ascii="Times New Roman" w:eastAsia="Times New Roman" w:hAnsi="Times New Roman"/>
      <w:spacing w:val="1"/>
    </w:rPr>
  </w:style>
  <w:style w:type="paragraph" w:styleId="a3">
    <w:name w:val="Normal (Web)"/>
    <w:basedOn w:val="a"/>
    <w:uiPriority w:val="99"/>
    <w:semiHidden/>
    <w:unhideWhenUsed/>
    <w:rsid w:val="00AE42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aliases w:val="мой рабочий"/>
    <w:link w:val="a5"/>
    <w:uiPriority w:val="1"/>
    <w:qFormat/>
    <w:rsid w:val="00FD0FFA"/>
    <w:pPr>
      <w:spacing w:after="0" w:line="240" w:lineRule="auto"/>
      <w:jc w:val="center"/>
    </w:pPr>
    <w:rPr>
      <w:rFonts w:ascii="Calibri" w:eastAsia="Calibri" w:hAnsi="Calibri" w:cs="Times New Roman"/>
    </w:rPr>
  </w:style>
  <w:style w:type="character" w:customStyle="1" w:styleId="a5">
    <w:name w:val="Без интервала Знак"/>
    <w:aliases w:val="мой рабочий Знак"/>
    <w:link w:val="a4"/>
    <w:uiPriority w:val="1"/>
    <w:locked/>
    <w:rsid w:val="00FD0FFA"/>
    <w:rPr>
      <w:rFonts w:ascii="Calibri" w:eastAsia="Calibri" w:hAnsi="Calibri" w:cs="Times New Roman"/>
    </w:rPr>
  </w:style>
  <w:style w:type="paragraph" w:styleId="a6">
    <w:name w:val="header"/>
    <w:basedOn w:val="a"/>
    <w:link w:val="a7"/>
    <w:uiPriority w:val="99"/>
    <w:semiHidden/>
    <w:unhideWhenUsed/>
    <w:rsid w:val="00E2607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26079"/>
  </w:style>
  <w:style w:type="paragraph" w:styleId="a8">
    <w:name w:val="footer"/>
    <w:basedOn w:val="a"/>
    <w:link w:val="a9"/>
    <w:uiPriority w:val="99"/>
    <w:semiHidden/>
    <w:unhideWhenUsed/>
    <w:rsid w:val="00E2607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26079"/>
  </w:style>
</w:styles>
</file>

<file path=word/webSettings.xml><?xml version="1.0" encoding="utf-8"?>
<w:webSettings xmlns:r="http://schemas.openxmlformats.org/officeDocument/2006/relationships" xmlns:w="http://schemas.openxmlformats.org/wordprocessingml/2006/main">
  <w:divs>
    <w:div w:id="125863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499</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kartmar</dc:creator>
  <cp:lastModifiedBy>nugmagul</cp:lastModifiedBy>
  <cp:revision>2</cp:revision>
  <dcterms:created xsi:type="dcterms:W3CDTF">2018-05-22T10:16:00Z</dcterms:created>
  <dcterms:modified xsi:type="dcterms:W3CDTF">2018-05-22T10:16:00Z</dcterms:modified>
</cp:coreProperties>
</file>